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22487" w14:textId="5ACAA205" w:rsidR="00971F47" w:rsidRPr="00B266B0" w:rsidRDefault="00971F47" w:rsidP="00971F47">
      <w:pPr>
        <w:pStyle w:val="a3"/>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17e-bis</w:t>
      </w:r>
      <w:r w:rsidRPr="00B266B0">
        <w:rPr>
          <w:bCs/>
          <w:noProof w:val="0"/>
          <w:sz w:val="24"/>
          <w:szCs w:val="24"/>
        </w:rPr>
        <w:tab/>
      </w:r>
      <w:r w:rsidR="00593EDF" w:rsidRPr="00593EDF">
        <w:rPr>
          <w:bCs/>
          <w:noProof w:val="0"/>
          <w:sz w:val="24"/>
          <w:szCs w:val="24"/>
        </w:rPr>
        <w:t>R3-225753</w:t>
      </w:r>
    </w:p>
    <w:p w14:paraId="03103B8B" w14:textId="77777777" w:rsidR="00971F47" w:rsidRPr="00B1063A" w:rsidRDefault="00971F47" w:rsidP="00971F47">
      <w:pPr>
        <w:pStyle w:val="a3"/>
        <w:tabs>
          <w:tab w:val="right" w:pos="9639"/>
        </w:tabs>
        <w:rPr>
          <w:bCs/>
          <w:noProof w:val="0"/>
          <w:sz w:val="24"/>
          <w:szCs w:val="24"/>
          <w:lang w:val="en-US"/>
        </w:rPr>
      </w:pPr>
      <w:bookmarkStart w:id="1" w:name="_Hlk490060723"/>
      <w:r>
        <w:rPr>
          <w:rFonts w:cs="Arial"/>
          <w:sz w:val="24"/>
          <w:szCs w:val="24"/>
          <w:lang w:val="en-US"/>
        </w:rPr>
        <w:t>E-meeting</w:t>
      </w:r>
      <w:r w:rsidRPr="00B1063A">
        <w:rPr>
          <w:rFonts w:cs="Arial"/>
          <w:sz w:val="24"/>
          <w:szCs w:val="24"/>
          <w:lang w:val="en-US"/>
        </w:rPr>
        <w:t xml:space="preserve">, </w:t>
      </w:r>
      <w:bookmarkEnd w:id="1"/>
      <w:r>
        <w:rPr>
          <w:rFonts w:cs="Arial"/>
          <w:sz w:val="24"/>
          <w:szCs w:val="24"/>
        </w:rPr>
        <w:t>10</w:t>
      </w:r>
      <w:r w:rsidRPr="006B36A5">
        <w:rPr>
          <w:rFonts w:cs="Arial"/>
          <w:sz w:val="24"/>
          <w:szCs w:val="24"/>
        </w:rPr>
        <w:t xml:space="preserve"> – </w:t>
      </w:r>
      <w:r>
        <w:rPr>
          <w:rFonts w:cs="Arial"/>
          <w:sz w:val="24"/>
          <w:szCs w:val="24"/>
        </w:rPr>
        <w:t>18 Oct</w:t>
      </w:r>
      <w:r w:rsidRPr="000804F0">
        <w:rPr>
          <w:rFonts w:cs="Arial"/>
          <w:sz w:val="24"/>
          <w:szCs w:val="24"/>
          <w:lang w:val="en-US"/>
        </w:rPr>
        <w:t>, 202</w:t>
      </w:r>
      <w:r>
        <w:rPr>
          <w:rFonts w:cs="Arial"/>
          <w:sz w:val="24"/>
          <w:szCs w:val="24"/>
          <w:lang w:val="en-US"/>
        </w:rPr>
        <w:t>2</w:t>
      </w:r>
    </w:p>
    <w:p w14:paraId="05FE47DF" w14:textId="77777777" w:rsidR="00CD4C7B" w:rsidRPr="00B1063A" w:rsidRDefault="00CD4C7B" w:rsidP="00CD4C7B">
      <w:pPr>
        <w:pStyle w:val="a3"/>
        <w:rPr>
          <w:bCs/>
          <w:noProof w:val="0"/>
          <w:sz w:val="24"/>
          <w:lang w:val="en-US"/>
        </w:rPr>
      </w:pPr>
    </w:p>
    <w:p w14:paraId="0717E73E" w14:textId="77777777" w:rsidR="00CD4C7B" w:rsidRPr="00B1063A" w:rsidRDefault="00CD4C7B" w:rsidP="00CD4C7B">
      <w:pPr>
        <w:pStyle w:val="a3"/>
        <w:rPr>
          <w:bCs/>
          <w:noProof w:val="0"/>
          <w:sz w:val="24"/>
          <w:lang w:val="en-US"/>
        </w:rPr>
      </w:pPr>
    </w:p>
    <w:p w14:paraId="3B0EF5F6" w14:textId="760ACE49"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342065">
        <w:rPr>
          <w:rFonts w:cs="Arial"/>
          <w:b/>
          <w:bCs/>
          <w:sz w:val="24"/>
          <w:lang w:val="en-US" w:eastAsia="ja-JP"/>
        </w:rPr>
        <w:t>13.</w:t>
      </w:r>
      <w:r w:rsidR="00DE532C">
        <w:rPr>
          <w:rFonts w:cs="Arial"/>
          <w:b/>
          <w:bCs/>
          <w:sz w:val="24"/>
          <w:lang w:val="en-US" w:eastAsia="ja-JP"/>
        </w:rPr>
        <w:t>3</w:t>
      </w:r>
    </w:p>
    <w:p w14:paraId="47FEC04C" w14:textId="296E550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31588F3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B5FD6">
        <w:rPr>
          <w:rFonts w:ascii="Arial" w:hAnsi="Arial" w:cs="Arial"/>
          <w:b/>
          <w:bCs/>
          <w:sz w:val="24"/>
        </w:rPr>
        <w:t>Discussion on</w:t>
      </w:r>
      <w:r w:rsidR="001B7EB4">
        <w:rPr>
          <w:rFonts w:ascii="Arial" w:hAnsi="Arial" w:cs="Arial"/>
          <w:b/>
          <w:bCs/>
          <w:sz w:val="24"/>
        </w:rPr>
        <w:t xml:space="preserve"> </w:t>
      </w:r>
      <w:r w:rsidR="00DE532C">
        <w:rPr>
          <w:rFonts w:ascii="Arial" w:hAnsi="Arial" w:cs="Arial"/>
          <w:b/>
          <w:bCs/>
          <w:sz w:val="24"/>
        </w:rPr>
        <w:t>mobility</w:t>
      </w:r>
      <w:r w:rsidR="001B7EB4">
        <w:rPr>
          <w:rFonts w:ascii="Arial" w:hAnsi="Arial" w:cs="Arial"/>
          <w:b/>
          <w:bCs/>
          <w:sz w:val="24"/>
        </w:rPr>
        <w:t xml:space="preserve"> enhancement</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2A4CE0A" w14:textId="0852CA82" w:rsidR="00C805B8" w:rsidRDefault="00CD4C7B" w:rsidP="00E51135">
      <w:pPr>
        <w:pStyle w:val="1"/>
      </w:pPr>
      <w:r w:rsidRPr="006E13D1">
        <w:t>1</w:t>
      </w:r>
      <w:r w:rsidRPr="006E13D1">
        <w:tab/>
      </w:r>
      <w:r w:rsidR="0056573F">
        <w:t>Introduction</w:t>
      </w:r>
    </w:p>
    <w:p w14:paraId="1350E9C0" w14:textId="1378D270" w:rsidR="00B6745D" w:rsidRDefault="00E6028F" w:rsidP="00CD4C7B">
      <w:r>
        <w:t>In this contribution, we’d like to discuss the mobility enhancement based on the last RAN3 agreements as below</w:t>
      </w:r>
    </w:p>
    <w:p w14:paraId="0B745216" w14:textId="77777777" w:rsidR="00971F47" w:rsidRPr="00E6028F" w:rsidRDefault="00971F47" w:rsidP="00971F47">
      <w:pPr>
        <w:pStyle w:val="a9"/>
        <w:numPr>
          <w:ilvl w:val="0"/>
          <w:numId w:val="16"/>
        </w:numPr>
        <w:overflowPunct w:val="0"/>
        <w:autoSpaceDE w:val="0"/>
        <w:autoSpaceDN w:val="0"/>
        <w:adjustRightInd w:val="0"/>
        <w:spacing w:before="100" w:beforeAutospacing="1" w:after="180"/>
        <w:ind w:leftChars="0"/>
        <w:contextualSpacing/>
        <w:jc w:val="left"/>
        <w:textAlignment w:val="baseline"/>
        <w:rPr>
          <w:rFonts w:ascii="Calibri" w:hAnsi="Calibri" w:cs="Calibri"/>
          <w:b/>
          <w:color w:val="008000"/>
          <w:sz w:val="18"/>
          <w:szCs w:val="18"/>
          <w:lang w:eastAsia="en-US"/>
        </w:rPr>
      </w:pPr>
      <w:r w:rsidRPr="00E6028F">
        <w:rPr>
          <w:rFonts w:ascii="Calibri" w:hAnsi="Calibri" w:cs="Calibri"/>
          <w:b/>
          <w:color w:val="008000"/>
          <w:sz w:val="18"/>
          <w:szCs w:val="18"/>
          <w:lang w:eastAsia="en-US"/>
        </w:rPr>
        <w:t>For group mobility enhancement, RAN3 to discuss the benefit and whether to support signaling of information related to multiple UE contexts in a single message, during e.g. the handover preparation, path switch, and context release procedures.</w:t>
      </w:r>
    </w:p>
    <w:p w14:paraId="087DBEFB" w14:textId="77777777" w:rsidR="00971F47" w:rsidRPr="00E6028F" w:rsidRDefault="00971F47" w:rsidP="00971F47">
      <w:pPr>
        <w:pStyle w:val="a9"/>
        <w:numPr>
          <w:ilvl w:val="0"/>
          <w:numId w:val="16"/>
        </w:numPr>
        <w:overflowPunct w:val="0"/>
        <w:autoSpaceDE w:val="0"/>
        <w:autoSpaceDN w:val="0"/>
        <w:adjustRightInd w:val="0"/>
        <w:spacing w:before="100" w:beforeAutospacing="1" w:after="180"/>
        <w:ind w:leftChars="0"/>
        <w:contextualSpacing/>
        <w:jc w:val="left"/>
        <w:textAlignment w:val="baseline"/>
        <w:rPr>
          <w:rFonts w:ascii="Calibri" w:hAnsi="Calibri" w:cs="Calibri"/>
          <w:b/>
          <w:color w:val="008000"/>
          <w:sz w:val="18"/>
          <w:szCs w:val="18"/>
          <w:lang w:eastAsia="en-US"/>
        </w:rPr>
      </w:pPr>
      <w:r w:rsidRPr="00E6028F">
        <w:rPr>
          <w:rFonts w:ascii="Calibri" w:hAnsi="Calibri" w:cs="Calibri"/>
          <w:b/>
          <w:color w:val="008000"/>
          <w:sz w:val="18"/>
          <w:szCs w:val="18"/>
          <w:lang w:eastAsia="en-US"/>
        </w:rPr>
        <w:t xml:space="preserve">The donor CU should know that the IAB node is “mobile”. </w:t>
      </w:r>
    </w:p>
    <w:p w14:paraId="361F4A02" w14:textId="77777777" w:rsidR="00971F47" w:rsidRPr="00E6028F" w:rsidRDefault="00971F47" w:rsidP="00971F47">
      <w:pPr>
        <w:pStyle w:val="a9"/>
        <w:numPr>
          <w:ilvl w:val="0"/>
          <w:numId w:val="16"/>
        </w:numPr>
        <w:overflowPunct w:val="0"/>
        <w:autoSpaceDE w:val="0"/>
        <w:autoSpaceDN w:val="0"/>
        <w:adjustRightInd w:val="0"/>
        <w:spacing w:before="100" w:beforeAutospacing="1" w:after="180"/>
        <w:ind w:leftChars="0"/>
        <w:contextualSpacing/>
        <w:jc w:val="left"/>
        <w:textAlignment w:val="baseline"/>
        <w:rPr>
          <w:rFonts w:ascii="Calibri" w:hAnsi="Calibri" w:cs="Calibri"/>
          <w:b/>
          <w:color w:val="008000"/>
          <w:sz w:val="18"/>
          <w:szCs w:val="18"/>
          <w:lang w:eastAsia="en-US"/>
        </w:rPr>
      </w:pPr>
      <w:r w:rsidRPr="00E6028F">
        <w:rPr>
          <w:rFonts w:ascii="Calibri" w:hAnsi="Calibri" w:cs="Calibri"/>
          <w:b/>
          <w:color w:val="008000"/>
          <w:sz w:val="18"/>
          <w:szCs w:val="18"/>
          <w:lang w:eastAsia="en-US"/>
        </w:rPr>
        <w:t>RAN3 to discuss whether the target IAB-donor should know the migrating IAB-node is “mobile IAB-node” from the source IAB-donor.</w:t>
      </w:r>
    </w:p>
    <w:p w14:paraId="270E0D33" w14:textId="77777777" w:rsidR="00971F47" w:rsidRPr="00E6028F" w:rsidRDefault="00971F47" w:rsidP="00971F47">
      <w:pPr>
        <w:pStyle w:val="a9"/>
        <w:numPr>
          <w:ilvl w:val="0"/>
          <w:numId w:val="16"/>
        </w:numPr>
        <w:overflowPunct w:val="0"/>
        <w:autoSpaceDE w:val="0"/>
        <w:autoSpaceDN w:val="0"/>
        <w:adjustRightInd w:val="0"/>
        <w:spacing w:before="100" w:beforeAutospacing="1" w:after="180"/>
        <w:ind w:leftChars="0"/>
        <w:contextualSpacing/>
        <w:jc w:val="left"/>
        <w:textAlignment w:val="baseline"/>
        <w:rPr>
          <w:rFonts w:ascii="Calibri" w:hAnsi="Calibri" w:cs="Calibri"/>
          <w:b/>
          <w:color w:val="008000"/>
          <w:sz w:val="18"/>
          <w:szCs w:val="18"/>
          <w:lang w:eastAsia="en-US"/>
        </w:rPr>
      </w:pPr>
      <w:r w:rsidRPr="00E6028F">
        <w:rPr>
          <w:rFonts w:ascii="Calibri" w:hAnsi="Calibri" w:cs="Calibri"/>
          <w:b/>
          <w:color w:val="008000"/>
          <w:sz w:val="18"/>
          <w:szCs w:val="18"/>
          <w:lang w:eastAsia="en-US"/>
        </w:rPr>
        <w:t>RAN3 to discuss whether to support means to identify onboard UEs.</w:t>
      </w:r>
    </w:p>
    <w:p w14:paraId="611D21B6" w14:textId="77777777" w:rsidR="00971F47" w:rsidRPr="00E6028F" w:rsidRDefault="00971F47" w:rsidP="00971F47">
      <w:pPr>
        <w:pStyle w:val="a9"/>
        <w:numPr>
          <w:ilvl w:val="0"/>
          <w:numId w:val="16"/>
        </w:numPr>
        <w:overflowPunct w:val="0"/>
        <w:autoSpaceDE w:val="0"/>
        <w:autoSpaceDN w:val="0"/>
        <w:adjustRightInd w:val="0"/>
        <w:spacing w:before="100" w:beforeAutospacing="1" w:after="180"/>
        <w:ind w:leftChars="0"/>
        <w:contextualSpacing/>
        <w:jc w:val="left"/>
        <w:textAlignment w:val="baseline"/>
        <w:rPr>
          <w:rFonts w:ascii="Calibri" w:hAnsi="Calibri" w:cs="Calibri"/>
          <w:b/>
          <w:bCs/>
          <w:color w:val="FF0000"/>
          <w:sz w:val="18"/>
          <w:szCs w:val="18"/>
          <w:lang w:eastAsia="en-US"/>
        </w:rPr>
      </w:pPr>
      <w:r w:rsidRPr="00E6028F">
        <w:rPr>
          <w:rFonts w:ascii="Calibri" w:hAnsi="Calibri" w:cs="Calibri"/>
          <w:b/>
          <w:bCs/>
          <w:color w:val="FF0000"/>
          <w:sz w:val="18"/>
          <w:szCs w:val="18"/>
          <w:lang w:eastAsia="en-US"/>
        </w:rPr>
        <w:t xml:space="preserve">The focus of the mobility procedures enhancements is “on-board” UEs. </w:t>
      </w:r>
    </w:p>
    <w:p w14:paraId="35A32832" w14:textId="77777777" w:rsidR="00971F47" w:rsidRPr="00E6028F" w:rsidRDefault="00971F47" w:rsidP="00971F47">
      <w:pPr>
        <w:pStyle w:val="a9"/>
        <w:numPr>
          <w:ilvl w:val="0"/>
          <w:numId w:val="16"/>
        </w:numPr>
        <w:overflowPunct w:val="0"/>
        <w:autoSpaceDE w:val="0"/>
        <w:autoSpaceDN w:val="0"/>
        <w:adjustRightInd w:val="0"/>
        <w:spacing w:before="100" w:beforeAutospacing="1" w:after="180"/>
        <w:ind w:leftChars="0"/>
        <w:contextualSpacing/>
        <w:jc w:val="left"/>
        <w:textAlignment w:val="baseline"/>
        <w:rPr>
          <w:rFonts w:ascii="Calibri" w:hAnsi="Calibri" w:cs="Calibri"/>
          <w:b/>
          <w:bCs/>
          <w:color w:val="0000FF"/>
          <w:sz w:val="18"/>
          <w:szCs w:val="18"/>
          <w:lang w:eastAsia="en-US"/>
        </w:rPr>
      </w:pPr>
      <w:r w:rsidRPr="00E6028F">
        <w:rPr>
          <w:rFonts w:ascii="Calibri" w:hAnsi="Calibri" w:cs="Calibri"/>
          <w:b/>
          <w:bCs/>
          <w:color w:val="0000FF"/>
          <w:sz w:val="18"/>
          <w:szCs w:val="18"/>
          <w:lang w:eastAsia="en-US"/>
        </w:rPr>
        <w:t>It is FFS whether the network can identify on-board UEs or surrounding UEs</w:t>
      </w:r>
    </w:p>
    <w:p w14:paraId="4F49E147" w14:textId="77777777" w:rsidR="00971F47" w:rsidRPr="00E6028F" w:rsidRDefault="00971F47" w:rsidP="00971F47">
      <w:pPr>
        <w:pStyle w:val="a9"/>
        <w:numPr>
          <w:ilvl w:val="0"/>
          <w:numId w:val="16"/>
        </w:numPr>
        <w:overflowPunct w:val="0"/>
        <w:autoSpaceDE w:val="0"/>
        <w:autoSpaceDN w:val="0"/>
        <w:adjustRightInd w:val="0"/>
        <w:spacing w:before="100" w:beforeAutospacing="1" w:after="180"/>
        <w:ind w:leftChars="0"/>
        <w:contextualSpacing/>
        <w:jc w:val="left"/>
        <w:textAlignment w:val="baseline"/>
        <w:rPr>
          <w:rFonts w:ascii="Calibri" w:hAnsi="Calibri" w:cs="Calibri"/>
          <w:b/>
          <w:bCs/>
          <w:color w:val="0000FF"/>
          <w:sz w:val="18"/>
          <w:szCs w:val="18"/>
          <w:lang w:eastAsia="en-US"/>
        </w:rPr>
      </w:pPr>
      <w:r w:rsidRPr="00E6028F">
        <w:rPr>
          <w:rFonts w:ascii="Calibri" w:hAnsi="Calibri" w:cs="Calibri"/>
          <w:b/>
          <w:bCs/>
          <w:color w:val="0000FF"/>
          <w:sz w:val="18"/>
          <w:szCs w:val="18"/>
          <w:lang w:eastAsia="en-US"/>
        </w:rPr>
        <w:t xml:space="preserve">For mobile DU migration, RAN3 to discuss the benefit and whether to support the sharing info of configuration and/ or UE context between two logical DUs in the mobile IAB-node. </w:t>
      </w:r>
    </w:p>
    <w:p w14:paraId="605435D6" w14:textId="77777777" w:rsidR="00971F47" w:rsidRPr="00E6028F" w:rsidRDefault="00971F47" w:rsidP="00971F47">
      <w:pPr>
        <w:pStyle w:val="a9"/>
        <w:numPr>
          <w:ilvl w:val="0"/>
          <w:numId w:val="16"/>
        </w:numPr>
        <w:overflowPunct w:val="0"/>
        <w:autoSpaceDE w:val="0"/>
        <w:autoSpaceDN w:val="0"/>
        <w:adjustRightInd w:val="0"/>
        <w:spacing w:before="100" w:beforeAutospacing="1" w:after="180"/>
        <w:ind w:leftChars="0"/>
        <w:contextualSpacing/>
        <w:jc w:val="left"/>
        <w:textAlignment w:val="baseline"/>
        <w:rPr>
          <w:rFonts w:ascii="Calibri" w:hAnsi="Calibri" w:cs="Calibri"/>
          <w:b/>
          <w:color w:val="000000"/>
          <w:sz w:val="18"/>
          <w:szCs w:val="18"/>
          <w:lang w:eastAsia="en-US"/>
        </w:rPr>
      </w:pPr>
      <w:r w:rsidRPr="00E6028F">
        <w:rPr>
          <w:rFonts w:ascii="Calibri" w:hAnsi="Calibri" w:cs="Calibri"/>
          <w:b/>
          <w:color w:val="0000FF"/>
          <w:sz w:val="18"/>
          <w:szCs w:val="18"/>
          <w:lang w:eastAsia="en-US"/>
        </w:rPr>
        <w:t>RAN3 to discuss whether the location info (e.g. TAC/RANAC) broadcasted by cell on mobile IAB-DU changes or not due to mobile IAB movement. The solution should align with SA2. Consider configuration aspects.</w:t>
      </w:r>
    </w:p>
    <w:p w14:paraId="479DA40B" w14:textId="1D2DDCB8" w:rsidR="00CD4C7B" w:rsidRPr="006E13D1" w:rsidRDefault="00CD4C7B" w:rsidP="00CD4C7B">
      <w:pPr>
        <w:pStyle w:val="1"/>
      </w:pPr>
      <w:r w:rsidRPr="006E13D1">
        <w:t>2</w:t>
      </w:r>
      <w:r w:rsidRPr="006E13D1">
        <w:tab/>
      </w:r>
      <w:r w:rsidR="00972FD7">
        <w:t>Discussion</w:t>
      </w:r>
    </w:p>
    <w:p w14:paraId="48F07AF8" w14:textId="2538F3FC" w:rsidR="00971F47" w:rsidRPr="00971F47" w:rsidRDefault="00971F47" w:rsidP="00971F47">
      <w:pPr>
        <w:pStyle w:val="2"/>
      </w:pPr>
      <w:bookmarkStart w:id="2" w:name="_Hlk109747344"/>
      <w:r w:rsidRPr="00971F47">
        <w:t xml:space="preserve">2.1 </w:t>
      </w:r>
      <w:r w:rsidR="0032608A">
        <w:t>G</w:t>
      </w:r>
      <w:r w:rsidRPr="00971F47">
        <w:t>roup mobility</w:t>
      </w:r>
    </w:p>
    <w:p w14:paraId="45E57CC9" w14:textId="504042A1" w:rsidR="00DE532C" w:rsidRDefault="00244585" w:rsidP="004E6C01">
      <w:pPr>
        <w:rPr>
          <w:szCs w:val="21"/>
        </w:rPr>
      </w:pPr>
      <w:r>
        <w:rPr>
          <w:szCs w:val="21"/>
        </w:rPr>
        <w:t xml:space="preserve">In our understanding, the aim of the group mobility is to reduce the signalling overhead, and </w:t>
      </w:r>
      <w:r w:rsidR="002A5A81">
        <w:rPr>
          <w:szCs w:val="21"/>
        </w:rPr>
        <w:t>avoid</w:t>
      </w:r>
      <w:r>
        <w:rPr>
          <w:szCs w:val="21"/>
        </w:rPr>
        <w:t xml:space="preserve"> the conflict when multiple UEs try to access to </w:t>
      </w:r>
      <w:r w:rsidR="002A5A81">
        <w:rPr>
          <w:szCs w:val="21"/>
        </w:rPr>
        <w:t>a same</w:t>
      </w:r>
      <w:r>
        <w:rPr>
          <w:szCs w:val="21"/>
        </w:rPr>
        <w:t xml:space="preserve"> cell</w:t>
      </w:r>
      <w:r w:rsidR="002A5A81">
        <w:rPr>
          <w:szCs w:val="21"/>
        </w:rPr>
        <w:t xml:space="preserve"> at the same time</w:t>
      </w:r>
      <w:r>
        <w:rPr>
          <w:szCs w:val="21"/>
        </w:rPr>
        <w:t xml:space="preserve">. </w:t>
      </w:r>
      <w:r w:rsidR="00F61F76">
        <w:rPr>
          <w:szCs w:val="21"/>
        </w:rPr>
        <w:t>Since</w:t>
      </w:r>
      <w:r w:rsidR="00DE532C">
        <w:rPr>
          <w:szCs w:val="21"/>
        </w:rPr>
        <w:t xml:space="preserve"> two logical DUs will be used for DU migration</w:t>
      </w:r>
      <w:r>
        <w:rPr>
          <w:szCs w:val="21"/>
        </w:rPr>
        <w:t>, from UE perspective, the target cell and source cell during UE migration are two different cells, but the target cell and</w:t>
      </w:r>
      <w:r w:rsidR="00C92571">
        <w:rPr>
          <w:szCs w:val="21"/>
        </w:rPr>
        <w:t xml:space="preserve"> the</w:t>
      </w:r>
      <w:r>
        <w:rPr>
          <w:szCs w:val="21"/>
        </w:rPr>
        <w:t xml:space="preserve"> source cell have something in common as they belong to the same IAB-node.</w:t>
      </w:r>
      <w:r w:rsidRPr="00244585">
        <w:rPr>
          <w:szCs w:val="21"/>
        </w:rPr>
        <w:t xml:space="preserve"> </w:t>
      </w:r>
      <w:r w:rsidR="00F61F76">
        <w:rPr>
          <w:szCs w:val="21"/>
        </w:rPr>
        <w:t>W</w:t>
      </w:r>
      <w:r>
        <w:rPr>
          <w:szCs w:val="21"/>
        </w:rPr>
        <w:t>e think the general principle</w:t>
      </w:r>
      <w:r w:rsidR="002A5A81">
        <w:rPr>
          <w:szCs w:val="21"/>
        </w:rPr>
        <w:t>s</w:t>
      </w:r>
      <w:r>
        <w:rPr>
          <w:szCs w:val="21"/>
        </w:rPr>
        <w:t xml:space="preserve"> of group mobility </w:t>
      </w:r>
      <w:r w:rsidR="002A5A81">
        <w:rPr>
          <w:szCs w:val="21"/>
        </w:rPr>
        <w:t>are</w:t>
      </w:r>
      <w:r>
        <w:rPr>
          <w:szCs w:val="21"/>
        </w:rPr>
        <w:t xml:space="preserve"> to avoid</w:t>
      </w:r>
      <w:r w:rsidR="002A5A81">
        <w:rPr>
          <w:szCs w:val="21"/>
        </w:rPr>
        <w:t xml:space="preserve"> transferring the</w:t>
      </w:r>
      <w:r>
        <w:rPr>
          <w:szCs w:val="21"/>
        </w:rPr>
        <w:t xml:space="preserve"> duplicated </w:t>
      </w:r>
      <w:r w:rsidR="002A5A81">
        <w:rPr>
          <w:szCs w:val="21"/>
        </w:rPr>
        <w:t>or known</w:t>
      </w:r>
      <w:r w:rsidR="00C92571">
        <w:rPr>
          <w:szCs w:val="21"/>
        </w:rPr>
        <w:t xml:space="preserve"> information</w:t>
      </w:r>
      <w:r w:rsidR="002A5A81">
        <w:rPr>
          <w:szCs w:val="21"/>
        </w:rPr>
        <w:t xml:space="preserve"> </w:t>
      </w:r>
      <w:r>
        <w:rPr>
          <w:szCs w:val="21"/>
        </w:rPr>
        <w:t>to reduce signalling overhead</w:t>
      </w:r>
      <w:r w:rsidR="002A5A81">
        <w:rPr>
          <w:szCs w:val="21"/>
        </w:rPr>
        <w:t>,</w:t>
      </w:r>
      <w:r>
        <w:rPr>
          <w:szCs w:val="21"/>
        </w:rPr>
        <w:t xml:space="preserve"> and </w:t>
      </w:r>
      <w:r w:rsidR="002A5A81">
        <w:rPr>
          <w:szCs w:val="21"/>
        </w:rPr>
        <w:t xml:space="preserve">to </w:t>
      </w:r>
      <w:r>
        <w:rPr>
          <w:szCs w:val="21"/>
        </w:rPr>
        <w:t xml:space="preserve">use the known info to avoid the handover conflict. </w:t>
      </w:r>
    </w:p>
    <w:p w14:paraId="68FE958A" w14:textId="2BF64CAD" w:rsidR="00244585" w:rsidRPr="00244585" w:rsidRDefault="00244585" w:rsidP="004E6C01">
      <w:pPr>
        <w:rPr>
          <w:b/>
          <w:szCs w:val="21"/>
        </w:rPr>
      </w:pPr>
      <w:r w:rsidRPr="00244585">
        <w:rPr>
          <w:b/>
          <w:szCs w:val="21"/>
        </w:rPr>
        <w:t>Observation</w:t>
      </w:r>
      <w:r w:rsidR="001D77D4">
        <w:rPr>
          <w:b/>
          <w:szCs w:val="21"/>
        </w:rPr>
        <w:t xml:space="preserve"> 1</w:t>
      </w:r>
      <w:r w:rsidRPr="00244585">
        <w:rPr>
          <w:b/>
          <w:szCs w:val="21"/>
        </w:rPr>
        <w:t xml:space="preserve">, group mobility </w:t>
      </w:r>
      <w:r w:rsidR="008D799A">
        <w:rPr>
          <w:b/>
          <w:szCs w:val="21"/>
        </w:rPr>
        <w:t>can</w:t>
      </w:r>
      <w:r w:rsidRPr="00244585">
        <w:rPr>
          <w:b/>
          <w:szCs w:val="21"/>
        </w:rPr>
        <w:t xml:space="preserve"> reduce signalling overhead and to avoid </w:t>
      </w:r>
      <w:r w:rsidR="008D799A">
        <w:rPr>
          <w:b/>
          <w:szCs w:val="21"/>
        </w:rPr>
        <w:t>access</w:t>
      </w:r>
      <w:r w:rsidRPr="00244585">
        <w:rPr>
          <w:b/>
          <w:szCs w:val="21"/>
        </w:rPr>
        <w:t xml:space="preserve"> conflict when multiple UE access to the </w:t>
      </w:r>
      <w:r w:rsidR="008D799A">
        <w:rPr>
          <w:b/>
          <w:szCs w:val="21"/>
        </w:rPr>
        <w:t>same</w:t>
      </w:r>
      <w:r w:rsidRPr="00244585">
        <w:rPr>
          <w:b/>
          <w:szCs w:val="21"/>
        </w:rPr>
        <w:t xml:space="preserve"> cell at the same time.</w:t>
      </w:r>
    </w:p>
    <w:p w14:paraId="3F5F7AA7" w14:textId="3D36194E" w:rsidR="00244585" w:rsidRDefault="00244585" w:rsidP="004E6C01">
      <w:pPr>
        <w:rPr>
          <w:b/>
          <w:szCs w:val="21"/>
        </w:rPr>
      </w:pPr>
      <w:r w:rsidRPr="00244585">
        <w:rPr>
          <w:b/>
          <w:szCs w:val="21"/>
        </w:rPr>
        <w:t>Observation</w:t>
      </w:r>
      <w:r w:rsidR="001D77D4">
        <w:rPr>
          <w:b/>
          <w:szCs w:val="21"/>
        </w:rPr>
        <w:t xml:space="preserve"> 2</w:t>
      </w:r>
      <w:r w:rsidRPr="00244585">
        <w:rPr>
          <w:b/>
          <w:szCs w:val="21"/>
        </w:rPr>
        <w:t>, the principle</w:t>
      </w:r>
      <w:r w:rsidR="00C92571">
        <w:rPr>
          <w:b/>
          <w:szCs w:val="21"/>
        </w:rPr>
        <w:t>s</w:t>
      </w:r>
      <w:r w:rsidRPr="00244585">
        <w:rPr>
          <w:b/>
          <w:szCs w:val="21"/>
        </w:rPr>
        <w:t xml:space="preserve"> of group mobility </w:t>
      </w:r>
      <w:r w:rsidR="00C92571">
        <w:rPr>
          <w:b/>
          <w:szCs w:val="21"/>
        </w:rPr>
        <w:t>are</w:t>
      </w:r>
      <w:r w:rsidRPr="00244585">
        <w:rPr>
          <w:b/>
          <w:szCs w:val="21"/>
        </w:rPr>
        <w:t xml:space="preserve"> to </w:t>
      </w:r>
      <w:r w:rsidR="002A5A81" w:rsidRPr="002A5A81">
        <w:rPr>
          <w:b/>
          <w:szCs w:val="21"/>
        </w:rPr>
        <w:t>avoid transfer</w:t>
      </w:r>
      <w:r w:rsidR="002A5A81">
        <w:rPr>
          <w:b/>
          <w:szCs w:val="21"/>
        </w:rPr>
        <w:t>ring</w:t>
      </w:r>
      <w:r w:rsidR="002A5A81" w:rsidRPr="002A5A81">
        <w:rPr>
          <w:b/>
          <w:szCs w:val="21"/>
        </w:rPr>
        <w:t xml:space="preserve"> the duplicated or known </w:t>
      </w:r>
      <w:r w:rsidR="002A5A81">
        <w:rPr>
          <w:b/>
          <w:szCs w:val="21"/>
        </w:rPr>
        <w:t xml:space="preserve">information </w:t>
      </w:r>
      <w:r w:rsidR="002A5A81" w:rsidRPr="002A5A81">
        <w:rPr>
          <w:b/>
          <w:szCs w:val="21"/>
        </w:rPr>
        <w:t>to reduce signalling overhead, and to use the known info to avoid the handover conflict</w:t>
      </w:r>
      <w:r w:rsidRPr="00244585">
        <w:rPr>
          <w:b/>
          <w:szCs w:val="21"/>
        </w:rPr>
        <w:t>.</w:t>
      </w:r>
    </w:p>
    <w:p w14:paraId="3D266181" w14:textId="3D6E6D80" w:rsidR="0032608A" w:rsidRDefault="0032608A" w:rsidP="0032608A">
      <w:pPr>
        <w:rPr>
          <w:szCs w:val="21"/>
        </w:rPr>
      </w:pPr>
      <w:r>
        <w:rPr>
          <w:szCs w:val="21"/>
        </w:rPr>
        <w:t>If group mobility is used in UE migration within the procedure of full migration, the following issues should be considered based on the above principles.</w:t>
      </w:r>
    </w:p>
    <w:p w14:paraId="04776C75" w14:textId="77777777" w:rsidR="0032608A" w:rsidRPr="002A5A81" w:rsidRDefault="0032608A" w:rsidP="0032608A">
      <w:pPr>
        <w:rPr>
          <w:i/>
          <w:szCs w:val="21"/>
          <w:u w:val="single"/>
        </w:rPr>
      </w:pPr>
      <w:r w:rsidRPr="002A5A81">
        <w:rPr>
          <w:i/>
          <w:szCs w:val="21"/>
          <w:u w:val="single"/>
        </w:rPr>
        <w:t>Issue 1, what is the general procedure for group mobility</w:t>
      </w:r>
      <w:r>
        <w:rPr>
          <w:i/>
          <w:szCs w:val="21"/>
          <w:u w:val="single"/>
        </w:rPr>
        <w:t>?</w:t>
      </w:r>
    </w:p>
    <w:p w14:paraId="748868C4" w14:textId="77777777" w:rsidR="0032608A" w:rsidRDefault="0032608A" w:rsidP="0032608A">
      <w:pPr>
        <w:rPr>
          <w:szCs w:val="21"/>
        </w:rPr>
      </w:pPr>
      <w:r>
        <w:rPr>
          <w:szCs w:val="21"/>
        </w:rPr>
        <w:t xml:space="preserve">In our view, even it’s for group mobility, the basic phases for mobility are the same as single UE mobility, i.e. handover preparation phase, handover execution phase and path switch phase. </w:t>
      </w:r>
    </w:p>
    <w:p w14:paraId="353627C6" w14:textId="77777777" w:rsidR="0032608A" w:rsidRDefault="0032608A" w:rsidP="0032608A">
      <w:pPr>
        <w:rPr>
          <w:szCs w:val="21"/>
        </w:rPr>
      </w:pPr>
      <w:r>
        <w:rPr>
          <w:szCs w:val="21"/>
        </w:rPr>
        <w:t>For the above phases, we think the group handover preparation phase, group path switch phase and group context release phase are in RAN3 scope and should be discussed in RAN3 first, and for handover execution phase, which is in RAN2 scope, RAN3 can discuss it based on the outcome of RAN2.</w:t>
      </w:r>
    </w:p>
    <w:p w14:paraId="5A946DBA" w14:textId="77777777" w:rsidR="00E6028F" w:rsidRPr="002A5A81" w:rsidRDefault="00E6028F" w:rsidP="00E6028F">
      <w:pPr>
        <w:rPr>
          <w:b/>
          <w:szCs w:val="21"/>
        </w:rPr>
      </w:pPr>
      <w:r w:rsidRPr="002A5A81">
        <w:rPr>
          <w:b/>
          <w:szCs w:val="21"/>
        </w:rPr>
        <w:lastRenderedPageBreak/>
        <w:t>Proposal</w:t>
      </w:r>
      <w:r>
        <w:rPr>
          <w:b/>
          <w:szCs w:val="21"/>
        </w:rPr>
        <w:t xml:space="preserve"> 1</w:t>
      </w:r>
      <w:r w:rsidRPr="002A5A81">
        <w:rPr>
          <w:b/>
          <w:szCs w:val="21"/>
        </w:rPr>
        <w:t>, RAN3 agree the following phases for group mobility</w:t>
      </w:r>
    </w:p>
    <w:p w14:paraId="0B4261B3" w14:textId="77777777" w:rsidR="00E6028F" w:rsidRPr="002A5A81" w:rsidRDefault="00E6028F" w:rsidP="00E6028F">
      <w:pPr>
        <w:pStyle w:val="a9"/>
        <w:numPr>
          <w:ilvl w:val="0"/>
          <w:numId w:val="15"/>
        </w:numPr>
        <w:spacing w:after="120"/>
        <w:ind w:leftChars="0" w:left="714" w:hanging="357"/>
        <w:rPr>
          <w:rFonts w:ascii="Times New Roman" w:hAnsi="Times New Roman"/>
          <w:b/>
          <w:sz w:val="20"/>
          <w:szCs w:val="21"/>
        </w:rPr>
      </w:pPr>
      <w:r w:rsidRPr="002A5A81">
        <w:rPr>
          <w:rFonts w:ascii="Times New Roman" w:hAnsi="Times New Roman"/>
          <w:b/>
          <w:sz w:val="20"/>
          <w:szCs w:val="21"/>
        </w:rPr>
        <w:t>Group handover preparation phase</w:t>
      </w:r>
    </w:p>
    <w:p w14:paraId="0CAABD70" w14:textId="77777777" w:rsidR="00E6028F" w:rsidRPr="002A5A81" w:rsidRDefault="00E6028F" w:rsidP="00E6028F">
      <w:pPr>
        <w:pStyle w:val="a9"/>
        <w:numPr>
          <w:ilvl w:val="0"/>
          <w:numId w:val="15"/>
        </w:numPr>
        <w:spacing w:after="120"/>
        <w:ind w:leftChars="0" w:left="714" w:hanging="357"/>
        <w:rPr>
          <w:rFonts w:ascii="Times New Roman" w:hAnsi="Times New Roman"/>
          <w:b/>
          <w:sz w:val="20"/>
          <w:szCs w:val="21"/>
        </w:rPr>
      </w:pPr>
      <w:r w:rsidRPr="002A5A81">
        <w:rPr>
          <w:rFonts w:ascii="Times New Roman" w:hAnsi="Times New Roman"/>
          <w:b/>
          <w:sz w:val="20"/>
          <w:szCs w:val="21"/>
        </w:rPr>
        <w:t>Group handover execution phase</w:t>
      </w:r>
    </w:p>
    <w:p w14:paraId="0D322804" w14:textId="77777777" w:rsidR="00E6028F" w:rsidRDefault="00E6028F" w:rsidP="00E6028F">
      <w:pPr>
        <w:pStyle w:val="a9"/>
        <w:numPr>
          <w:ilvl w:val="0"/>
          <w:numId w:val="15"/>
        </w:numPr>
        <w:spacing w:after="120"/>
        <w:ind w:leftChars="0" w:left="714" w:hanging="357"/>
        <w:rPr>
          <w:rFonts w:ascii="Times New Roman" w:hAnsi="Times New Roman"/>
          <w:b/>
          <w:sz w:val="20"/>
          <w:szCs w:val="21"/>
        </w:rPr>
      </w:pPr>
      <w:r w:rsidRPr="002A5A81">
        <w:rPr>
          <w:rFonts w:ascii="Times New Roman" w:hAnsi="Times New Roman"/>
          <w:b/>
          <w:sz w:val="20"/>
          <w:szCs w:val="21"/>
        </w:rPr>
        <w:t>Group path switch phase</w:t>
      </w:r>
    </w:p>
    <w:p w14:paraId="6936136F" w14:textId="5BD8DAED" w:rsidR="00E6028F" w:rsidRPr="00E6028F" w:rsidRDefault="00E6028F" w:rsidP="0032608A">
      <w:pPr>
        <w:pStyle w:val="a9"/>
        <w:numPr>
          <w:ilvl w:val="0"/>
          <w:numId w:val="15"/>
        </w:numPr>
        <w:spacing w:after="120"/>
        <w:ind w:leftChars="0" w:left="714" w:hanging="357"/>
        <w:rPr>
          <w:rFonts w:ascii="Times New Roman" w:hAnsi="Times New Roman"/>
          <w:b/>
          <w:sz w:val="20"/>
          <w:szCs w:val="21"/>
        </w:rPr>
      </w:pPr>
      <w:r>
        <w:rPr>
          <w:rFonts w:ascii="Times New Roman" w:hAnsi="Times New Roman"/>
          <w:b/>
          <w:sz w:val="20"/>
          <w:szCs w:val="21"/>
        </w:rPr>
        <w:t>Group context release</w:t>
      </w:r>
    </w:p>
    <w:p w14:paraId="79A09D82" w14:textId="21B99FD9" w:rsidR="0032608A" w:rsidRDefault="0032608A" w:rsidP="0032608A">
      <w:pPr>
        <w:spacing w:after="120"/>
        <w:rPr>
          <w:b/>
          <w:szCs w:val="21"/>
          <w:lang w:val="en-US"/>
        </w:rPr>
      </w:pPr>
      <w:r w:rsidRPr="001D77D4">
        <w:rPr>
          <w:b/>
          <w:szCs w:val="21"/>
          <w:lang w:val="en-US"/>
        </w:rPr>
        <w:t>Proposal 2, RAN3 discuss group handover preparation phase</w:t>
      </w:r>
      <w:r>
        <w:rPr>
          <w:b/>
          <w:szCs w:val="21"/>
          <w:lang w:val="en-US"/>
        </w:rPr>
        <w:t>,</w:t>
      </w:r>
      <w:r w:rsidRPr="001D77D4">
        <w:rPr>
          <w:b/>
          <w:szCs w:val="21"/>
          <w:lang w:val="en-US"/>
        </w:rPr>
        <w:t xml:space="preserve"> group path switch phase </w:t>
      </w:r>
      <w:r>
        <w:rPr>
          <w:b/>
          <w:szCs w:val="21"/>
          <w:lang w:val="en-US"/>
        </w:rPr>
        <w:t xml:space="preserve">and group context release phase </w:t>
      </w:r>
      <w:r w:rsidRPr="001D77D4">
        <w:rPr>
          <w:b/>
          <w:szCs w:val="21"/>
          <w:lang w:val="en-US"/>
        </w:rPr>
        <w:t>first and then discuss group execution phase based on the outcome of RAN2.</w:t>
      </w:r>
    </w:p>
    <w:p w14:paraId="21C7887A" w14:textId="77777777" w:rsidR="0032608A" w:rsidRDefault="0032608A" w:rsidP="0032608A">
      <w:pPr>
        <w:rPr>
          <w:i/>
          <w:szCs w:val="21"/>
          <w:u w:val="single"/>
        </w:rPr>
      </w:pPr>
      <w:r w:rsidRPr="00697E26">
        <w:rPr>
          <w:i/>
          <w:szCs w:val="21"/>
          <w:u w:val="single"/>
        </w:rPr>
        <w:t xml:space="preserve">Issue </w:t>
      </w:r>
      <w:r>
        <w:rPr>
          <w:i/>
          <w:szCs w:val="21"/>
          <w:u w:val="single"/>
        </w:rPr>
        <w:t>2</w:t>
      </w:r>
      <w:r w:rsidRPr="00697E26">
        <w:rPr>
          <w:i/>
          <w:szCs w:val="21"/>
          <w:u w:val="single"/>
        </w:rPr>
        <w:t xml:space="preserve">, </w:t>
      </w:r>
      <w:r>
        <w:rPr>
          <w:i/>
          <w:szCs w:val="21"/>
          <w:u w:val="single"/>
        </w:rPr>
        <w:t>how are the UEs grouped?</w:t>
      </w:r>
    </w:p>
    <w:p w14:paraId="7ECB7AB8" w14:textId="77777777" w:rsidR="0032608A" w:rsidRDefault="0032608A" w:rsidP="0032608A">
      <w:pPr>
        <w:rPr>
          <w:szCs w:val="21"/>
        </w:rPr>
      </w:pPr>
      <w:r>
        <w:rPr>
          <w:szCs w:val="21"/>
        </w:rPr>
        <w:t xml:space="preserve">Regarding how the UEs are grouped, we should find the common thing for those UEs. </w:t>
      </w:r>
      <w:r w:rsidRPr="008C2420">
        <w:rPr>
          <w:szCs w:val="21"/>
        </w:rPr>
        <w:t>For</w:t>
      </w:r>
      <w:r>
        <w:rPr>
          <w:szCs w:val="21"/>
        </w:rPr>
        <w:t xml:space="preserve"> group preparation phase, UEs served by the same logical cell can be grouped, as they share the same cell configuration which is known by IAB-node itself. For group path switch phase, UEs served by the same AMF can be grouped as they can notify the same AMF at the same time about the path switch and the DL transmission info is the same as well. Furthermore, considering the UEs may access the new cell in relative different time with different pathloss/TA, the UEs with similar path loss/TA can be grouped for group path switch so that the DL transmission will not be delayed due to waiting for all the UEs’ access. </w:t>
      </w:r>
    </w:p>
    <w:p w14:paraId="5F2FF335" w14:textId="10566198" w:rsidR="0032608A" w:rsidRPr="008C2420" w:rsidRDefault="0032608A" w:rsidP="0032608A">
      <w:pPr>
        <w:rPr>
          <w:b/>
          <w:szCs w:val="21"/>
        </w:rPr>
      </w:pPr>
      <w:r w:rsidRPr="008C2420">
        <w:rPr>
          <w:b/>
          <w:szCs w:val="21"/>
        </w:rPr>
        <w:t>Proposal</w:t>
      </w:r>
      <w:r>
        <w:rPr>
          <w:b/>
          <w:szCs w:val="21"/>
        </w:rPr>
        <w:t xml:space="preserve"> 3</w:t>
      </w:r>
      <w:r w:rsidRPr="008C2420">
        <w:rPr>
          <w:b/>
          <w:szCs w:val="21"/>
        </w:rPr>
        <w:t xml:space="preserve">, RAN3 agree </w:t>
      </w:r>
      <w:r w:rsidR="00E6028F">
        <w:rPr>
          <w:b/>
          <w:szCs w:val="21"/>
        </w:rPr>
        <w:t>how to group UE and considering the following aspects.</w:t>
      </w:r>
    </w:p>
    <w:p w14:paraId="4D921697" w14:textId="77777777" w:rsidR="0032608A" w:rsidRPr="002A5A81" w:rsidRDefault="0032608A" w:rsidP="0032608A">
      <w:pPr>
        <w:pStyle w:val="a9"/>
        <w:numPr>
          <w:ilvl w:val="0"/>
          <w:numId w:val="15"/>
        </w:numPr>
        <w:spacing w:after="120"/>
        <w:ind w:leftChars="0" w:left="714" w:hanging="357"/>
        <w:rPr>
          <w:rFonts w:ascii="Times New Roman" w:hAnsi="Times New Roman"/>
          <w:b/>
          <w:sz w:val="20"/>
          <w:szCs w:val="21"/>
        </w:rPr>
      </w:pPr>
      <w:r w:rsidRPr="008C2420">
        <w:rPr>
          <w:rFonts w:ascii="Times New Roman" w:hAnsi="Times New Roman"/>
          <w:b/>
          <w:sz w:val="20"/>
          <w:szCs w:val="21"/>
        </w:rPr>
        <w:t xml:space="preserve">UEs </w:t>
      </w:r>
      <w:r>
        <w:rPr>
          <w:rFonts w:ascii="Times New Roman" w:hAnsi="Times New Roman"/>
          <w:b/>
          <w:sz w:val="20"/>
          <w:szCs w:val="21"/>
        </w:rPr>
        <w:t>served by the same cell can be grouped in g</w:t>
      </w:r>
      <w:r w:rsidRPr="002A5A81">
        <w:rPr>
          <w:rFonts w:ascii="Times New Roman" w:hAnsi="Times New Roman"/>
          <w:b/>
          <w:sz w:val="20"/>
          <w:szCs w:val="21"/>
        </w:rPr>
        <w:t>roup handover preparation phase</w:t>
      </w:r>
    </w:p>
    <w:p w14:paraId="78796CA1" w14:textId="77777777" w:rsidR="0032608A" w:rsidRDefault="0032608A" w:rsidP="0032608A">
      <w:pPr>
        <w:pStyle w:val="a9"/>
        <w:numPr>
          <w:ilvl w:val="0"/>
          <w:numId w:val="15"/>
        </w:numPr>
        <w:spacing w:after="120"/>
        <w:ind w:leftChars="0" w:left="714" w:hanging="357"/>
        <w:rPr>
          <w:rFonts w:ascii="Times New Roman" w:hAnsi="Times New Roman"/>
          <w:b/>
          <w:sz w:val="20"/>
          <w:szCs w:val="21"/>
        </w:rPr>
      </w:pPr>
      <w:r>
        <w:rPr>
          <w:rFonts w:ascii="Times New Roman" w:hAnsi="Times New Roman"/>
          <w:b/>
          <w:sz w:val="20"/>
          <w:szCs w:val="21"/>
        </w:rPr>
        <w:t>UEs served by the same AMF can be grouped in g</w:t>
      </w:r>
      <w:r w:rsidRPr="002A5A81">
        <w:rPr>
          <w:rFonts w:ascii="Times New Roman" w:hAnsi="Times New Roman"/>
          <w:b/>
          <w:sz w:val="20"/>
          <w:szCs w:val="21"/>
        </w:rPr>
        <w:t>roup path switch phase</w:t>
      </w:r>
    </w:p>
    <w:p w14:paraId="65494B28" w14:textId="77777777" w:rsidR="0032608A" w:rsidRPr="00F6620F" w:rsidRDefault="0032608A" w:rsidP="0032608A">
      <w:pPr>
        <w:pStyle w:val="a9"/>
        <w:numPr>
          <w:ilvl w:val="0"/>
          <w:numId w:val="15"/>
        </w:numPr>
        <w:spacing w:after="120"/>
        <w:ind w:leftChars="0" w:left="714" w:hanging="357"/>
        <w:rPr>
          <w:rFonts w:ascii="Times New Roman" w:hAnsi="Times New Roman"/>
          <w:b/>
          <w:sz w:val="20"/>
          <w:szCs w:val="21"/>
        </w:rPr>
      </w:pPr>
      <w:r>
        <w:rPr>
          <w:rFonts w:ascii="Times New Roman" w:hAnsi="Times New Roman"/>
          <w:b/>
          <w:sz w:val="20"/>
          <w:szCs w:val="21"/>
        </w:rPr>
        <w:t>UEs with similar pathloss can be grouped in g</w:t>
      </w:r>
      <w:r w:rsidRPr="002A5A81">
        <w:rPr>
          <w:rFonts w:ascii="Times New Roman" w:hAnsi="Times New Roman"/>
          <w:b/>
          <w:sz w:val="20"/>
          <w:szCs w:val="21"/>
        </w:rPr>
        <w:t>roup path switch phase</w:t>
      </w:r>
    </w:p>
    <w:p w14:paraId="37C67E56" w14:textId="77777777" w:rsidR="00A3295B" w:rsidRPr="00971F47" w:rsidRDefault="00A3295B" w:rsidP="00A3295B">
      <w:pPr>
        <w:pStyle w:val="2"/>
      </w:pPr>
      <w:r w:rsidRPr="00971F47">
        <w:t>2.</w:t>
      </w:r>
      <w:r>
        <w:t>2</w:t>
      </w:r>
      <w:r w:rsidRPr="00971F47">
        <w:t xml:space="preserve"> </w:t>
      </w:r>
      <w:r>
        <w:t>Identification of on-board UEs</w:t>
      </w:r>
    </w:p>
    <w:p w14:paraId="54E9724C" w14:textId="33799FDE" w:rsidR="00A3295B" w:rsidRDefault="00A3295B" w:rsidP="00A3295B">
      <w:pPr>
        <w:rPr>
          <w:szCs w:val="21"/>
        </w:rPr>
      </w:pPr>
      <w:r w:rsidRPr="00BB1499">
        <w:rPr>
          <w:szCs w:val="21"/>
        </w:rPr>
        <w:t>If group mobility is supported, it should be aimed to on-board UE</w:t>
      </w:r>
      <w:r>
        <w:rPr>
          <w:szCs w:val="21"/>
        </w:rPr>
        <w:t xml:space="preserve">, </w:t>
      </w:r>
      <w:r w:rsidR="00EB4857">
        <w:rPr>
          <w:szCs w:val="21"/>
        </w:rPr>
        <w:t>as stated in</w:t>
      </w:r>
      <w:r>
        <w:rPr>
          <w:szCs w:val="21"/>
        </w:rPr>
        <w:t xml:space="preserve"> WID</w:t>
      </w:r>
      <w:r w:rsidRPr="00BB1499">
        <w:rPr>
          <w:szCs w:val="21"/>
        </w:rPr>
        <w:t>.</w:t>
      </w:r>
    </w:p>
    <w:p w14:paraId="503E8316" w14:textId="2019DC3D" w:rsidR="00A3295B" w:rsidRDefault="00A3295B" w:rsidP="00A3295B">
      <w:pPr>
        <w:rPr>
          <w:szCs w:val="21"/>
        </w:rPr>
      </w:pPr>
      <w:r>
        <w:rPr>
          <w:szCs w:val="21"/>
        </w:rPr>
        <w:t xml:space="preserve">In addition, RAN2 had an agreement </w:t>
      </w:r>
      <w:r w:rsidR="00EB4857">
        <w:rPr>
          <w:szCs w:val="21"/>
        </w:rPr>
        <w:t xml:space="preserve">in the last meeting, </w:t>
      </w:r>
      <w:r>
        <w:rPr>
          <w:szCs w:val="21"/>
        </w:rPr>
        <w:t>that</w:t>
      </w:r>
      <w:r w:rsidR="00EB4857">
        <w:rPr>
          <w:szCs w:val="21"/>
        </w:rPr>
        <w:t xml:space="preserve"> is</w:t>
      </w:r>
      <w:r>
        <w:rPr>
          <w:szCs w:val="21"/>
        </w:rPr>
        <w:t xml:space="preserve"> “</w:t>
      </w:r>
      <w:r w:rsidRPr="00A3295B">
        <w:rPr>
          <w:rFonts w:ascii="Arial" w:hAnsi="Arial" w:cs="Arial"/>
          <w:bCs/>
          <w:i/>
          <w:iCs/>
          <w:sz w:val="18"/>
          <w:szCs w:val="18"/>
        </w:rPr>
        <w:t>R2 assumes RACH-less procedure may be considered for on-board RRC_CONNECTED UEs, which are to be handed over together with the mobile IAB-node (would depend also on the assumptions for UL synch).</w:t>
      </w:r>
      <w:r w:rsidRPr="00A3295B">
        <w:rPr>
          <w:szCs w:val="21"/>
        </w:rPr>
        <w:t>”</w:t>
      </w:r>
    </w:p>
    <w:p w14:paraId="54E2C2D9" w14:textId="77777777" w:rsidR="00A3295B" w:rsidRPr="00F61F76" w:rsidRDefault="00A3295B" w:rsidP="00A3295B">
      <w:pPr>
        <w:rPr>
          <w:szCs w:val="21"/>
        </w:rPr>
      </w:pPr>
      <w:r w:rsidRPr="00F61F76">
        <w:rPr>
          <w:szCs w:val="21"/>
        </w:rPr>
        <w:t>Regarding how to identify on-board UEs, the following two options can be considered.</w:t>
      </w:r>
    </w:p>
    <w:p w14:paraId="1A59DA19" w14:textId="77777777" w:rsidR="00A3295B" w:rsidRPr="00F61F76" w:rsidRDefault="00A3295B" w:rsidP="00A3295B">
      <w:pPr>
        <w:pStyle w:val="a9"/>
        <w:widowControl/>
        <w:numPr>
          <w:ilvl w:val="0"/>
          <w:numId w:val="18"/>
        </w:numPr>
        <w:ind w:leftChars="0"/>
        <w:contextualSpacing/>
        <w:rPr>
          <w:rFonts w:ascii="Times New Roman" w:hAnsi="Times New Roman"/>
          <w:kern w:val="0"/>
          <w:sz w:val="20"/>
          <w:szCs w:val="21"/>
          <w:lang w:val="en-GB" w:eastAsia="en-US"/>
        </w:rPr>
      </w:pPr>
      <w:r w:rsidRPr="00F61F76">
        <w:rPr>
          <w:rFonts w:ascii="Times New Roman" w:hAnsi="Times New Roman"/>
          <w:kern w:val="0"/>
          <w:sz w:val="20"/>
          <w:szCs w:val="21"/>
          <w:lang w:val="en-GB" w:eastAsia="en-US"/>
        </w:rPr>
        <w:t>Option 1, RAN-based solution, evaluate the relative location (including coordinates and velocity) between UE and it’s served IAB-node</w:t>
      </w:r>
    </w:p>
    <w:p w14:paraId="0410ADB4" w14:textId="77777777" w:rsidR="00A3295B" w:rsidRPr="00F61F76" w:rsidRDefault="00A3295B" w:rsidP="00A3295B">
      <w:pPr>
        <w:pStyle w:val="a9"/>
        <w:widowControl/>
        <w:numPr>
          <w:ilvl w:val="0"/>
          <w:numId w:val="18"/>
        </w:numPr>
        <w:ind w:leftChars="0"/>
        <w:contextualSpacing/>
        <w:rPr>
          <w:rFonts w:ascii="Times New Roman" w:hAnsi="Times New Roman"/>
          <w:kern w:val="0"/>
          <w:sz w:val="20"/>
          <w:szCs w:val="21"/>
          <w:lang w:val="en-GB" w:eastAsia="en-US"/>
        </w:rPr>
      </w:pPr>
      <w:r w:rsidRPr="00F61F76">
        <w:rPr>
          <w:rFonts w:ascii="Times New Roman" w:hAnsi="Times New Roman"/>
          <w:kern w:val="0"/>
          <w:sz w:val="20"/>
          <w:szCs w:val="21"/>
          <w:lang w:val="en-GB" w:eastAsia="en-US"/>
        </w:rPr>
        <w:t>Option 2, CN-based solution, may be similar to UE on-boarding procedure in SNPN.</w:t>
      </w:r>
    </w:p>
    <w:p w14:paraId="2FA5A1DB" w14:textId="77777777" w:rsidR="00401D6C" w:rsidRPr="00F61F76" w:rsidRDefault="00401D6C" w:rsidP="00A3295B">
      <w:pPr>
        <w:rPr>
          <w:szCs w:val="21"/>
        </w:rPr>
      </w:pPr>
    </w:p>
    <w:p w14:paraId="0EE483D9" w14:textId="5EE4B718" w:rsidR="00A3295B" w:rsidRPr="00F61F76" w:rsidRDefault="00401D6C" w:rsidP="00A3295B">
      <w:pPr>
        <w:rPr>
          <w:szCs w:val="21"/>
        </w:rPr>
      </w:pPr>
      <w:r w:rsidRPr="00F61F76">
        <w:rPr>
          <w:szCs w:val="21"/>
        </w:rPr>
        <w:t xml:space="preserve">Considering the SA2’s timeline, CN-based solution may </w:t>
      </w:r>
      <w:r w:rsidR="00BC3B22" w:rsidRPr="00F61F76">
        <w:rPr>
          <w:szCs w:val="21"/>
        </w:rPr>
        <w:t xml:space="preserve">be preferred by SA2, we think RAN3 can discuss RAN-based solution </w:t>
      </w:r>
      <w:r w:rsidR="00943B23" w:rsidRPr="00F61F76">
        <w:rPr>
          <w:szCs w:val="21"/>
        </w:rPr>
        <w:t xml:space="preserve">firstly. </w:t>
      </w:r>
    </w:p>
    <w:p w14:paraId="6FA2CACF" w14:textId="0BBFEE18" w:rsidR="00A3295B" w:rsidRPr="00F61F76" w:rsidRDefault="00A3295B" w:rsidP="00A3295B">
      <w:pPr>
        <w:rPr>
          <w:szCs w:val="21"/>
        </w:rPr>
      </w:pPr>
      <w:r w:rsidRPr="00F61F76">
        <w:rPr>
          <w:szCs w:val="21"/>
        </w:rPr>
        <w:t xml:space="preserve">For option 1 RAN-based solution, </w:t>
      </w:r>
      <w:r w:rsidR="00943B23" w:rsidRPr="00F61F76">
        <w:rPr>
          <w:szCs w:val="21"/>
        </w:rPr>
        <w:t xml:space="preserve">the next question is that </w:t>
      </w:r>
      <w:r w:rsidRPr="00F61F76">
        <w:rPr>
          <w:szCs w:val="21"/>
        </w:rPr>
        <w:t>who is responsible for on-board UE evaluation?</w:t>
      </w:r>
    </w:p>
    <w:p w14:paraId="534B6321" w14:textId="77777777" w:rsidR="00A3295B" w:rsidRPr="00F61F76" w:rsidRDefault="00A3295B" w:rsidP="00F61F76">
      <w:pPr>
        <w:pStyle w:val="a9"/>
        <w:widowControl/>
        <w:numPr>
          <w:ilvl w:val="0"/>
          <w:numId w:val="18"/>
        </w:numPr>
        <w:ind w:leftChars="0"/>
        <w:contextualSpacing/>
        <w:rPr>
          <w:rFonts w:ascii="Times New Roman" w:hAnsi="Times New Roman"/>
          <w:kern w:val="0"/>
          <w:sz w:val="20"/>
          <w:szCs w:val="21"/>
          <w:lang w:val="en-GB" w:eastAsia="en-US"/>
        </w:rPr>
      </w:pPr>
      <w:r w:rsidRPr="00F61F76">
        <w:rPr>
          <w:rFonts w:ascii="Times New Roman" w:hAnsi="Times New Roman"/>
          <w:kern w:val="0"/>
          <w:sz w:val="20"/>
          <w:szCs w:val="21"/>
          <w:lang w:val="en-GB" w:eastAsia="en-US"/>
        </w:rPr>
        <w:t>Option 1-a, UE</w:t>
      </w:r>
    </w:p>
    <w:p w14:paraId="0E26D39D" w14:textId="77777777" w:rsidR="00A3295B" w:rsidRPr="00F61F76" w:rsidRDefault="00A3295B" w:rsidP="00F61F76">
      <w:pPr>
        <w:pStyle w:val="a9"/>
        <w:widowControl/>
        <w:numPr>
          <w:ilvl w:val="0"/>
          <w:numId w:val="18"/>
        </w:numPr>
        <w:ind w:leftChars="0"/>
        <w:contextualSpacing/>
        <w:rPr>
          <w:rFonts w:ascii="Times New Roman" w:hAnsi="Times New Roman"/>
          <w:kern w:val="0"/>
          <w:sz w:val="20"/>
          <w:szCs w:val="21"/>
          <w:lang w:val="en-GB" w:eastAsia="en-US"/>
        </w:rPr>
      </w:pPr>
      <w:r w:rsidRPr="00F61F76">
        <w:rPr>
          <w:rFonts w:ascii="Times New Roman" w:hAnsi="Times New Roman"/>
          <w:kern w:val="0"/>
          <w:sz w:val="20"/>
          <w:szCs w:val="21"/>
          <w:lang w:val="en-GB" w:eastAsia="en-US"/>
        </w:rPr>
        <w:t>Option 1-b, IAB-donor</w:t>
      </w:r>
    </w:p>
    <w:p w14:paraId="0DE2B0D7" w14:textId="2C1DF843" w:rsidR="00A3295B" w:rsidRPr="00F61F76" w:rsidRDefault="00A3295B" w:rsidP="00F61F76">
      <w:pPr>
        <w:pStyle w:val="a9"/>
        <w:widowControl/>
        <w:numPr>
          <w:ilvl w:val="0"/>
          <w:numId w:val="18"/>
        </w:numPr>
        <w:ind w:leftChars="0"/>
        <w:contextualSpacing/>
        <w:rPr>
          <w:rFonts w:ascii="Times New Roman" w:hAnsi="Times New Roman"/>
          <w:kern w:val="0"/>
          <w:sz w:val="20"/>
          <w:szCs w:val="21"/>
          <w:lang w:val="en-GB" w:eastAsia="en-US"/>
        </w:rPr>
      </w:pPr>
      <w:r w:rsidRPr="00F61F76">
        <w:rPr>
          <w:rFonts w:ascii="Times New Roman" w:hAnsi="Times New Roman"/>
          <w:kern w:val="0"/>
          <w:sz w:val="20"/>
          <w:szCs w:val="21"/>
          <w:lang w:val="en-GB" w:eastAsia="en-US"/>
        </w:rPr>
        <w:t>Option 1-c, IAB-node</w:t>
      </w:r>
    </w:p>
    <w:p w14:paraId="66E0725E" w14:textId="77777777" w:rsidR="00EB4857" w:rsidRDefault="00EB4857" w:rsidP="00A3295B">
      <w:pPr>
        <w:rPr>
          <w:b/>
          <w:szCs w:val="21"/>
        </w:rPr>
      </w:pPr>
    </w:p>
    <w:p w14:paraId="4B9064A0" w14:textId="6CEDF38B" w:rsidR="00EB4857" w:rsidRPr="00EB4857" w:rsidRDefault="00EB4857" w:rsidP="00EB4857">
      <w:pPr>
        <w:rPr>
          <w:b/>
          <w:szCs w:val="21"/>
        </w:rPr>
      </w:pPr>
      <w:bookmarkStart w:id="3" w:name="_Hlk115189745"/>
      <w:r w:rsidRPr="00EB4857">
        <w:rPr>
          <w:b/>
          <w:szCs w:val="21"/>
        </w:rPr>
        <w:t xml:space="preserve">Observation 3, network should be aware of the on-board UEs so that network can take proper action for </w:t>
      </w:r>
      <w:r w:rsidR="00F61F76">
        <w:rPr>
          <w:b/>
          <w:szCs w:val="21"/>
        </w:rPr>
        <w:t xml:space="preserve">on-board </w:t>
      </w:r>
      <w:r w:rsidRPr="00EB4857">
        <w:rPr>
          <w:b/>
          <w:szCs w:val="21"/>
        </w:rPr>
        <w:t xml:space="preserve">UE mobility. </w:t>
      </w:r>
    </w:p>
    <w:p w14:paraId="7D713E37" w14:textId="1A0FC2BD" w:rsidR="00EB4857" w:rsidRPr="00EB4857" w:rsidRDefault="00EB4857" w:rsidP="00EB4857">
      <w:pPr>
        <w:rPr>
          <w:b/>
          <w:szCs w:val="21"/>
        </w:rPr>
      </w:pPr>
      <w:r w:rsidRPr="00EB4857">
        <w:rPr>
          <w:b/>
          <w:szCs w:val="21"/>
        </w:rPr>
        <w:t>Proposal 4, RAN3 agree that at least IAB-donor should be aware of the on-board UE</w:t>
      </w:r>
      <w:r>
        <w:rPr>
          <w:b/>
          <w:szCs w:val="21"/>
        </w:rPr>
        <w:t xml:space="preserve"> for RACH-less handover</w:t>
      </w:r>
      <w:r w:rsidRPr="00EB4857">
        <w:rPr>
          <w:b/>
          <w:szCs w:val="21"/>
        </w:rPr>
        <w:t>.</w:t>
      </w:r>
    </w:p>
    <w:p w14:paraId="2FDAE6F9" w14:textId="69AE7B90" w:rsidR="00943B23" w:rsidRDefault="00A3295B" w:rsidP="0013213A">
      <w:pPr>
        <w:rPr>
          <w:b/>
          <w:szCs w:val="21"/>
        </w:rPr>
      </w:pPr>
      <w:r>
        <w:rPr>
          <w:b/>
          <w:szCs w:val="21"/>
        </w:rPr>
        <w:t xml:space="preserve">Proposal </w:t>
      </w:r>
      <w:r w:rsidR="00EB4857">
        <w:rPr>
          <w:b/>
          <w:szCs w:val="21"/>
        </w:rPr>
        <w:t>5</w:t>
      </w:r>
      <w:r>
        <w:rPr>
          <w:b/>
          <w:szCs w:val="21"/>
        </w:rPr>
        <w:t>, RAN3 to discuss RAN-based solution for identifying the on-board UEs</w:t>
      </w:r>
      <w:r w:rsidR="00943B23">
        <w:rPr>
          <w:b/>
          <w:szCs w:val="21"/>
        </w:rPr>
        <w:t xml:space="preserve"> and decide which entity is responsible for </w:t>
      </w:r>
      <w:r w:rsidR="00943B23" w:rsidRPr="00943B23">
        <w:rPr>
          <w:b/>
          <w:szCs w:val="21"/>
        </w:rPr>
        <w:t>on-board UE evaluation</w:t>
      </w:r>
    </w:p>
    <w:bookmarkEnd w:id="3"/>
    <w:p w14:paraId="7089D14D" w14:textId="534C2FF5" w:rsidR="0013213A" w:rsidRPr="00971F47" w:rsidRDefault="0013213A" w:rsidP="0013213A">
      <w:pPr>
        <w:pStyle w:val="2"/>
      </w:pPr>
      <w:r w:rsidRPr="00971F47">
        <w:lastRenderedPageBreak/>
        <w:t>2.</w:t>
      </w:r>
      <w:r>
        <w:t>2</w:t>
      </w:r>
      <w:r w:rsidRPr="00971F47">
        <w:t xml:space="preserve"> </w:t>
      </w:r>
      <w:r>
        <w:t>Identification of mobile IAB</w:t>
      </w:r>
    </w:p>
    <w:p w14:paraId="325AF7EB" w14:textId="38349349" w:rsidR="00EB4857" w:rsidRDefault="00EB4857" w:rsidP="00EB4857">
      <w:pPr>
        <w:overflowPunct w:val="0"/>
        <w:autoSpaceDE w:val="0"/>
        <w:autoSpaceDN w:val="0"/>
        <w:adjustRightInd w:val="0"/>
        <w:spacing w:before="100" w:beforeAutospacing="1"/>
        <w:contextualSpacing/>
        <w:textAlignment w:val="baseline"/>
        <w:rPr>
          <w:szCs w:val="21"/>
        </w:rPr>
      </w:pPr>
      <w:r>
        <w:rPr>
          <w:szCs w:val="21"/>
        </w:rPr>
        <w:t>Based on the following agreements in last RAN3 meeting, we’d like to discuss our views on the identification of mobile IAB.</w:t>
      </w:r>
    </w:p>
    <w:p w14:paraId="48EB6DF3" w14:textId="77777777" w:rsidR="00EB4857" w:rsidRPr="00EB4857" w:rsidRDefault="00EB4857" w:rsidP="00EB4857">
      <w:pPr>
        <w:pStyle w:val="a9"/>
        <w:numPr>
          <w:ilvl w:val="0"/>
          <w:numId w:val="16"/>
        </w:numPr>
        <w:overflowPunct w:val="0"/>
        <w:autoSpaceDE w:val="0"/>
        <w:autoSpaceDN w:val="0"/>
        <w:adjustRightInd w:val="0"/>
        <w:spacing w:before="100" w:beforeAutospacing="1" w:after="180"/>
        <w:ind w:leftChars="0"/>
        <w:contextualSpacing/>
        <w:jc w:val="left"/>
        <w:textAlignment w:val="baseline"/>
        <w:rPr>
          <w:rFonts w:ascii="Calibri" w:hAnsi="Calibri" w:cs="Calibri"/>
          <w:b/>
          <w:color w:val="008000"/>
          <w:sz w:val="18"/>
          <w:szCs w:val="18"/>
          <w:lang w:eastAsia="en-US"/>
        </w:rPr>
      </w:pPr>
      <w:r w:rsidRPr="00EB4857">
        <w:rPr>
          <w:rFonts w:ascii="Calibri" w:hAnsi="Calibri" w:cs="Calibri"/>
          <w:b/>
          <w:color w:val="008000"/>
          <w:sz w:val="18"/>
          <w:szCs w:val="18"/>
          <w:lang w:eastAsia="en-US"/>
        </w:rPr>
        <w:t xml:space="preserve">The donor CU should know that the IAB node is “mobile”. </w:t>
      </w:r>
    </w:p>
    <w:p w14:paraId="5FC52F5C" w14:textId="77777777" w:rsidR="00EB4857" w:rsidRPr="00EB4857" w:rsidRDefault="00EB4857" w:rsidP="00EB4857">
      <w:pPr>
        <w:pStyle w:val="a9"/>
        <w:numPr>
          <w:ilvl w:val="0"/>
          <w:numId w:val="16"/>
        </w:numPr>
        <w:overflowPunct w:val="0"/>
        <w:autoSpaceDE w:val="0"/>
        <w:autoSpaceDN w:val="0"/>
        <w:adjustRightInd w:val="0"/>
        <w:spacing w:before="100" w:beforeAutospacing="1" w:after="180"/>
        <w:ind w:leftChars="0"/>
        <w:contextualSpacing/>
        <w:jc w:val="left"/>
        <w:textAlignment w:val="baseline"/>
        <w:rPr>
          <w:rFonts w:ascii="Calibri" w:hAnsi="Calibri" w:cs="Calibri"/>
          <w:b/>
          <w:color w:val="008000"/>
          <w:sz w:val="18"/>
          <w:szCs w:val="18"/>
          <w:lang w:eastAsia="en-US"/>
        </w:rPr>
      </w:pPr>
      <w:r w:rsidRPr="00EB4857">
        <w:rPr>
          <w:rFonts w:ascii="Calibri" w:hAnsi="Calibri" w:cs="Calibri"/>
          <w:b/>
          <w:color w:val="008000"/>
          <w:sz w:val="18"/>
          <w:szCs w:val="18"/>
          <w:lang w:eastAsia="en-US"/>
        </w:rPr>
        <w:t>RAN3 to discuss whether the target IAB-donor should know the migrating IAB-node is “mobile IAB-node” from the source IAB-donor.</w:t>
      </w:r>
    </w:p>
    <w:p w14:paraId="54031BEE" w14:textId="3236E539" w:rsidR="00EB4857" w:rsidRPr="0065074F" w:rsidRDefault="0065074F" w:rsidP="00EB4857">
      <w:pPr>
        <w:overflowPunct w:val="0"/>
        <w:autoSpaceDE w:val="0"/>
        <w:autoSpaceDN w:val="0"/>
        <w:adjustRightInd w:val="0"/>
        <w:spacing w:before="100" w:beforeAutospacing="1"/>
        <w:contextualSpacing/>
        <w:textAlignment w:val="baseline"/>
        <w:rPr>
          <w:szCs w:val="21"/>
        </w:rPr>
      </w:pPr>
      <w:r w:rsidRPr="0065074F">
        <w:rPr>
          <w:szCs w:val="21"/>
        </w:rPr>
        <w:t>Regarding how the IAB-donor know whether the IAB node is mobile or not</w:t>
      </w:r>
      <w:r>
        <w:rPr>
          <w:szCs w:val="21"/>
        </w:rPr>
        <w:t>, we think the following options can be considered:</w:t>
      </w:r>
    </w:p>
    <w:p w14:paraId="63B791D1" w14:textId="14D929FC" w:rsidR="0013213A" w:rsidRPr="0065074F" w:rsidRDefault="0013213A" w:rsidP="0065074F">
      <w:pPr>
        <w:pStyle w:val="a9"/>
        <w:numPr>
          <w:ilvl w:val="0"/>
          <w:numId w:val="17"/>
        </w:numPr>
        <w:overflowPunct w:val="0"/>
        <w:autoSpaceDE w:val="0"/>
        <w:autoSpaceDN w:val="0"/>
        <w:adjustRightInd w:val="0"/>
        <w:spacing w:before="100" w:beforeAutospacing="1" w:after="180" w:line="360" w:lineRule="auto"/>
        <w:ind w:leftChars="0" w:left="1077" w:hanging="357"/>
        <w:contextualSpacing/>
        <w:jc w:val="left"/>
        <w:textAlignment w:val="baseline"/>
        <w:rPr>
          <w:rFonts w:ascii="Arial" w:hAnsi="Arial" w:cs="Arial"/>
          <w:sz w:val="18"/>
          <w:szCs w:val="18"/>
          <w:lang w:eastAsia="en-US"/>
        </w:rPr>
      </w:pPr>
      <w:r w:rsidRPr="0065074F">
        <w:rPr>
          <w:rFonts w:ascii="Arial" w:hAnsi="Arial" w:cs="Arial"/>
          <w:sz w:val="18"/>
          <w:szCs w:val="18"/>
          <w:lang w:eastAsia="en-US"/>
        </w:rPr>
        <w:t>Option</w:t>
      </w:r>
      <w:r w:rsidR="0065074F">
        <w:rPr>
          <w:rFonts w:ascii="Arial" w:hAnsi="Arial" w:cs="Arial"/>
          <w:sz w:val="18"/>
          <w:szCs w:val="18"/>
          <w:lang w:eastAsia="en-US"/>
        </w:rPr>
        <w:t xml:space="preserve"> </w:t>
      </w:r>
      <w:r w:rsidRPr="0065074F">
        <w:rPr>
          <w:rFonts w:ascii="Arial" w:hAnsi="Arial" w:cs="Arial"/>
          <w:sz w:val="18"/>
          <w:szCs w:val="18"/>
          <w:lang w:eastAsia="en-US"/>
        </w:rPr>
        <w:t xml:space="preserve">1, Donor CU can know is by the location info </w:t>
      </w:r>
      <w:r w:rsidR="0065074F">
        <w:rPr>
          <w:rFonts w:ascii="Arial" w:hAnsi="Arial" w:cs="Arial"/>
          <w:sz w:val="18"/>
          <w:szCs w:val="18"/>
          <w:lang w:eastAsia="en-US"/>
        </w:rPr>
        <w:t>of the IAB-MT</w:t>
      </w:r>
    </w:p>
    <w:p w14:paraId="1461EDBF" w14:textId="5BFC33B7" w:rsidR="0013213A" w:rsidRPr="0065074F" w:rsidRDefault="0013213A" w:rsidP="0065074F">
      <w:pPr>
        <w:pStyle w:val="a9"/>
        <w:numPr>
          <w:ilvl w:val="0"/>
          <w:numId w:val="17"/>
        </w:numPr>
        <w:overflowPunct w:val="0"/>
        <w:autoSpaceDE w:val="0"/>
        <w:autoSpaceDN w:val="0"/>
        <w:adjustRightInd w:val="0"/>
        <w:spacing w:before="100" w:beforeAutospacing="1" w:after="180" w:line="360" w:lineRule="auto"/>
        <w:ind w:leftChars="0" w:left="1077" w:hanging="357"/>
        <w:contextualSpacing/>
        <w:jc w:val="left"/>
        <w:textAlignment w:val="baseline"/>
        <w:rPr>
          <w:rFonts w:ascii="Arial" w:hAnsi="Arial" w:cs="Arial"/>
          <w:sz w:val="18"/>
          <w:szCs w:val="18"/>
          <w:lang w:eastAsia="en-US"/>
        </w:rPr>
      </w:pPr>
      <w:r w:rsidRPr="0065074F">
        <w:rPr>
          <w:rFonts w:ascii="Arial" w:hAnsi="Arial" w:cs="Arial"/>
          <w:sz w:val="18"/>
          <w:szCs w:val="18"/>
          <w:lang w:eastAsia="en-US"/>
        </w:rPr>
        <w:t>Option 2, IAB-node notify IAB-donor via RRC message/F1AP</w:t>
      </w:r>
      <w:r w:rsidR="0065074F">
        <w:rPr>
          <w:rFonts w:ascii="Arial" w:hAnsi="Arial" w:cs="Arial"/>
          <w:sz w:val="18"/>
          <w:szCs w:val="18"/>
          <w:lang w:eastAsia="en-US"/>
        </w:rPr>
        <w:t xml:space="preserve"> message</w:t>
      </w:r>
    </w:p>
    <w:p w14:paraId="0BEA84AB" w14:textId="1960B5C0" w:rsidR="0013213A" w:rsidRPr="0065074F" w:rsidRDefault="0013213A" w:rsidP="0065074F">
      <w:pPr>
        <w:pStyle w:val="a9"/>
        <w:numPr>
          <w:ilvl w:val="0"/>
          <w:numId w:val="17"/>
        </w:numPr>
        <w:overflowPunct w:val="0"/>
        <w:autoSpaceDE w:val="0"/>
        <w:autoSpaceDN w:val="0"/>
        <w:adjustRightInd w:val="0"/>
        <w:spacing w:before="100" w:beforeAutospacing="1" w:after="180" w:line="360" w:lineRule="auto"/>
        <w:ind w:leftChars="0" w:left="1077" w:hanging="357"/>
        <w:contextualSpacing/>
        <w:jc w:val="left"/>
        <w:textAlignment w:val="baseline"/>
        <w:rPr>
          <w:rFonts w:ascii="Arial" w:hAnsi="Arial" w:cs="Arial"/>
          <w:sz w:val="18"/>
          <w:szCs w:val="18"/>
          <w:lang w:eastAsia="en-US"/>
        </w:rPr>
      </w:pPr>
      <w:r w:rsidRPr="0065074F">
        <w:rPr>
          <w:rFonts w:ascii="Arial" w:hAnsi="Arial" w:cs="Arial"/>
          <w:sz w:val="18"/>
          <w:szCs w:val="18"/>
          <w:lang w:eastAsia="en-US"/>
        </w:rPr>
        <w:t>Option 3, CN notify the IAB-donor after registration</w:t>
      </w:r>
    </w:p>
    <w:p w14:paraId="404F9588" w14:textId="23721175" w:rsidR="0065074F" w:rsidRDefault="0065074F" w:rsidP="0065074F">
      <w:pPr>
        <w:overflowPunct w:val="0"/>
        <w:autoSpaceDE w:val="0"/>
        <w:autoSpaceDN w:val="0"/>
        <w:adjustRightInd w:val="0"/>
        <w:spacing w:before="100" w:beforeAutospacing="1"/>
        <w:contextualSpacing/>
        <w:textAlignment w:val="baseline"/>
        <w:rPr>
          <w:szCs w:val="21"/>
        </w:rPr>
      </w:pPr>
      <w:r w:rsidRPr="0065074F">
        <w:rPr>
          <w:szCs w:val="21"/>
        </w:rPr>
        <w:t xml:space="preserve">We </w:t>
      </w:r>
      <w:r>
        <w:rPr>
          <w:szCs w:val="21"/>
        </w:rPr>
        <w:t>prefer</w:t>
      </w:r>
      <w:r w:rsidRPr="0065074F">
        <w:rPr>
          <w:szCs w:val="21"/>
        </w:rPr>
        <w:t xml:space="preserve"> option 1 </w:t>
      </w:r>
      <w:r>
        <w:rPr>
          <w:szCs w:val="21"/>
        </w:rPr>
        <w:t xml:space="preserve">since it </w:t>
      </w:r>
      <w:r w:rsidRPr="0065074F">
        <w:rPr>
          <w:szCs w:val="21"/>
        </w:rPr>
        <w:t>has no spec impact</w:t>
      </w:r>
      <w:r>
        <w:rPr>
          <w:szCs w:val="21"/>
        </w:rPr>
        <w:t xml:space="preserve"> and can be easily identified with any kind of location information.</w:t>
      </w:r>
    </w:p>
    <w:p w14:paraId="458E6D45" w14:textId="77777777" w:rsidR="0065074F" w:rsidRPr="0065074F" w:rsidRDefault="0065074F" w:rsidP="0065074F">
      <w:pPr>
        <w:overflowPunct w:val="0"/>
        <w:autoSpaceDE w:val="0"/>
        <w:autoSpaceDN w:val="0"/>
        <w:adjustRightInd w:val="0"/>
        <w:spacing w:before="100" w:beforeAutospacing="1"/>
        <w:contextualSpacing/>
        <w:textAlignment w:val="baseline"/>
        <w:rPr>
          <w:szCs w:val="21"/>
        </w:rPr>
      </w:pPr>
    </w:p>
    <w:p w14:paraId="2E29574D" w14:textId="2CE77942" w:rsidR="0065074F" w:rsidRDefault="0065074F" w:rsidP="0065074F">
      <w:pPr>
        <w:rPr>
          <w:b/>
          <w:szCs w:val="21"/>
        </w:rPr>
      </w:pPr>
      <w:r>
        <w:rPr>
          <w:b/>
          <w:szCs w:val="21"/>
        </w:rPr>
        <w:t xml:space="preserve">Proposal 6, RAN3 agree that IAB-donor can know whether the IAB-node is mobile by the location info of the IAB-MT. </w:t>
      </w:r>
    </w:p>
    <w:p w14:paraId="4723A64D" w14:textId="63E0AEC5" w:rsidR="0065074F" w:rsidRPr="00E6028F" w:rsidRDefault="0065074F" w:rsidP="0065074F">
      <w:pPr>
        <w:rPr>
          <w:szCs w:val="21"/>
        </w:rPr>
      </w:pPr>
      <w:r w:rsidRPr="00E6028F">
        <w:rPr>
          <w:szCs w:val="21"/>
          <w:lang w:eastAsia="zh-CN"/>
        </w:rPr>
        <w:t>R</w:t>
      </w:r>
      <w:r w:rsidRPr="00E6028F">
        <w:rPr>
          <w:szCs w:val="21"/>
        </w:rPr>
        <w:t xml:space="preserve">egarding whether the target IAB-donor should know the migrating IAB-node is “mobile IAB-node” from the source IAB-donor, we think the target IAB-donor can know it by </w:t>
      </w:r>
      <w:r w:rsidR="00E6028F" w:rsidRPr="00E6028F">
        <w:rPr>
          <w:szCs w:val="21"/>
        </w:rPr>
        <w:t>the location info of the mobile IAB-MT, we don’t see the strong need to transfer this mobile IAB-node indication in handover request message.</w:t>
      </w:r>
    </w:p>
    <w:p w14:paraId="50467F39" w14:textId="65D2B092" w:rsidR="00971F47" w:rsidRPr="00E6028F" w:rsidRDefault="00E6028F" w:rsidP="00E6028F">
      <w:pPr>
        <w:rPr>
          <w:b/>
          <w:szCs w:val="21"/>
        </w:rPr>
      </w:pPr>
      <w:r>
        <w:rPr>
          <w:b/>
          <w:szCs w:val="21"/>
        </w:rPr>
        <w:t>Proposal 7, there is no need to transfer the mobile IAB-node indication from the source IAB-donor to the target IAB-donor.</w:t>
      </w:r>
    </w:p>
    <w:bookmarkEnd w:id="2"/>
    <w:p w14:paraId="0D110258" w14:textId="77777777" w:rsidR="00CD4C7B" w:rsidRPr="006E13D1" w:rsidRDefault="00972FD7" w:rsidP="00CD4C7B">
      <w:pPr>
        <w:pStyle w:val="1"/>
      </w:pPr>
      <w:r>
        <w:t>3</w:t>
      </w:r>
      <w:r w:rsidR="00CD4C7B" w:rsidRPr="006E13D1">
        <w:tab/>
      </w:r>
      <w:r>
        <w:t>Conclusion</w:t>
      </w:r>
    </w:p>
    <w:p w14:paraId="6093981F" w14:textId="2508C39B" w:rsidR="00CD4C7B" w:rsidRDefault="00ED0D91" w:rsidP="00CD4C7B">
      <w:r>
        <w:t>We have made the following proposals:</w:t>
      </w:r>
    </w:p>
    <w:p w14:paraId="72CB370D" w14:textId="77777777" w:rsidR="00E6028F" w:rsidRPr="00244585" w:rsidRDefault="00E6028F" w:rsidP="00E6028F">
      <w:pPr>
        <w:rPr>
          <w:b/>
          <w:szCs w:val="21"/>
        </w:rPr>
      </w:pPr>
      <w:r w:rsidRPr="00244585">
        <w:rPr>
          <w:b/>
          <w:szCs w:val="21"/>
        </w:rPr>
        <w:t>Observation</w:t>
      </w:r>
      <w:r>
        <w:rPr>
          <w:b/>
          <w:szCs w:val="21"/>
        </w:rPr>
        <w:t xml:space="preserve"> 1</w:t>
      </w:r>
      <w:r w:rsidRPr="00244585">
        <w:rPr>
          <w:b/>
          <w:szCs w:val="21"/>
        </w:rPr>
        <w:t xml:space="preserve">, group mobility </w:t>
      </w:r>
      <w:r>
        <w:rPr>
          <w:b/>
          <w:szCs w:val="21"/>
        </w:rPr>
        <w:t>can</w:t>
      </w:r>
      <w:r w:rsidRPr="00244585">
        <w:rPr>
          <w:b/>
          <w:szCs w:val="21"/>
        </w:rPr>
        <w:t xml:space="preserve"> reduce signalling overhead and to avoid </w:t>
      </w:r>
      <w:r>
        <w:rPr>
          <w:b/>
          <w:szCs w:val="21"/>
        </w:rPr>
        <w:t>access</w:t>
      </w:r>
      <w:r w:rsidRPr="00244585">
        <w:rPr>
          <w:b/>
          <w:szCs w:val="21"/>
        </w:rPr>
        <w:t xml:space="preserve"> conflict when multiple UE access to the </w:t>
      </w:r>
      <w:r>
        <w:rPr>
          <w:b/>
          <w:szCs w:val="21"/>
        </w:rPr>
        <w:t>same</w:t>
      </w:r>
      <w:r w:rsidRPr="00244585">
        <w:rPr>
          <w:b/>
          <w:szCs w:val="21"/>
        </w:rPr>
        <w:t xml:space="preserve"> cell at the same time.</w:t>
      </w:r>
    </w:p>
    <w:p w14:paraId="790BECB9" w14:textId="11DB31E7" w:rsidR="00E6028F" w:rsidRDefault="00E6028F" w:rsidP="00E6028F">
      <w:pPr>
        <w:rPr>
          <w:b/>
          <w:szCs w:val="21"/>
        </w:rPr>
      </w:pPr>
      <w:r w:rsidRPr="00244585">
        <w:rPr>
          <w:b/>
          <w:szCs w:val="21"/>
        </w:rPr>
        <w:t>Observation</w:t>
      </w:r>
      <w:r>
        <w:rPr>
          <w:b/>
          <w:szCs w:val="21"/>
        </w:rPr>
        <w:t xml:space="preserve"> 2</w:t>
      </w:r>
      <w:r w:rsidRPr="00244585">
        <w:rPr>
          <w:b/>
          <w:szCs w:val="21"/>
        </w:rPr>
        <w:t>, the principle</w:t>
      </w:r>
      <w:r>
        <w:rPr>
          <w:b/>
          <w:szCs w:val="21"/>
        </w:rPr>
        <w:t>s</w:t>
      </w:r>
      <w:r w:rsidRPr="00244585">
        <w:rPr>
          <w:b/>
          <w:szCs w:val="21"/>
        </w:rPr>
        <w:t xml:space="preserve"> of group mobility </w:t>
      </w:r>
      <w:r>
        <w:rPr>
          <w:b/>
          <w:szCs w:val="21"/>
        </w:rPr>
        <w:t>are</w:t>
      </w:r>
      <w:r w:rsidRPr="00244585">
        <w:rPr>
          <w:b/>
          <w:szCs w:val="21"/>
        </w:rPr>
        <w:t xml:space="preserve"> to </w:t>
      </w:r>
      <w:r w:rsidRPr="002A5A81">
        <w:rPr>
          <w:b/>
          <w:szCs w:val="21"/>
        </w:rPr>
        <w:t>avoid transfer</w:t>
      </w:r>
      <w:r>
        <w:rPr>
          <w:b/>
          <w:szCs w:val="21"/>
        </w:rPr>
        <w:t>ring</w:t>
      </w:r>
      <w:r w:rsidRPr="002A5A81">
        <w:rPr>
          <w:b/>
          <w:szCs w:val="21"/>
        </w:rPr>
        <w:t xml:space="preserve"> the duplicated or known </w:t>
      </w:r>
      <w:r>
        <w:rPr>
          <w:b/>
          <w:szCs w:val="21"/>
        </w:rPr>
        <w:t xml:space="preserve">information </w:t>
      </w:r>
      <w:r w:rsidRPr="002A5A81">
        <w:rPr>
          <w:b/>
          <w:szCs w:val="21"/>
        </w:rPr>
        <w:t>to reduce signalling overhead, and to use the known info to avoid the handover conflict</w:t>
      </w:r>
      <w:r w:rsidRPr="00244585">
        <w:rPr>
          <w:b/>
          <w:szCs w:val="21"/>
        </w:rPr>
        <w:t>.</w:t>
      </w:r>
    </w:p>
    <w:p w14:paraId="690EB50F" w14:textId="77777777" w:rsidR="00E6028F" w:rsidRPr="002A5A81" w:rsidRDefault="00E6028F" w:rsidP="00E6028F">
      <w:pPr>
        <w:rPr>
          <w:b/>
          <w:szCs w:val="21"/>
        </w:rPr>
      </w:pPr>
      <w:r w:rsidRPr="002A5A81">
        <w:rPr>
          <w:b/>
          <w:szCs w:val="21"/>
        </w:rPr>
        <w:t>Proposal</w:t>
      </w:r>
      <w:r>
        <w:rPr>
          <w:b/>
          <w:szCs w:val="21"/>
        </w:rPr>
        <w:t xml:space="preserve"> 1</w:t>
      </w:r>
      <w:r w:rsidRPr="002A5A81">
        <w:rPr>
          <w:b/>
          <w:szCs w:val="21"/>
        </w:rPr>
        <w:t>, RAN3 agree the following phases for group mobility</w:t>
      </w:r>
    </w:p>
    <w:p w14:paraId="7444F0B0" w14:textId="77777777" w:rsidR="00E6028F" w:rsidRPr="002A5A81" w:rsidRDefault="00E6028F" w:rsidP="00E6028F">
      <w:pPr>
        <w:pStyle w:val="a9"/>
        <w:numPr>
          <w:ilvl w:val="0"/>
          <w:numId w:val="15"/>
        </w:numPr>
        <w:spacing w:after="120"/>
        <w:ind w:leftChars="0" w:left="714" w:hanging="357"/>
        <w:rPr>
          <w:rFonts w:ascii="Times New Roman" w:hAnsi="Times New Roman"/>
          <w:b/>
          <w:sz w:val="20"/>
          <w:szCs w:val="21"/>
        </w:rPr>
      </w:pPr>
      <w:r w:rsidRPr="002A5A81">
        <w:rPr>
          <w:rFonts w:ascii="Times New Roman" w:hAnsi="Times New Roman"/>
          <w:b/>
          <w:sz w:val="20"/>
          <w:szCs w:val="21"/>
        </w:rPr>
        <w:t>Group handover preparation phase</w:t>
      </w:r>
    </w:p>
    <w:p w14:paraId="13D293E4" w14:textId="77777777" w:rsidR="00E6028F" w:rsidRPr="002A5A81" w:rsidRDefault="00E6028F" w:rsidP="00E6028F">
      <w:pPr>
        <w:pStyle w:val="a9"/>
        <w:numPr>
          <w:ilvl w:val="0"/>
          <w:numId w:val="15"/>
        </w:numPr>
        <w:spacing w:after="120"/>
        <w:ind w:leftChars="0" w:left="714" w:hanging="357"/>
        <w:rPr>
          <w:rFonts w:ascii="Times New Roman" w:hAnsi="Times New Roman"/>
          <w:b/>
          <w:sz w:val="20"/>
          <w:szCs w:val="21"/>
        </w:rPr>
      </w:pPr>
      <w:r w:rsidRPr="002A5A81">
        <w:rPr>
          <w:rFonts w:ascii="Times New Roman" w:hAnsi="Times New Roman"/>
          <w:b/>
          <w:sz w:val="20"/>
          <w:szCs w:val="21"/>
        </w:rPr>
        <w:t>Group handover execution phase</w:t>
      </w:r>
    </w:p>
    <w:p w14:paraId="1080405D" w14:textId="77777777" w:rsidR="00E6028F" w:rsidRDefault="00E6028F" w:rsidP="00E6028F">
      <w:pPr>
        <w:pStyle w:val="a9"/>
        <w:numPr>
          <w:ilvl w:val="0"/>
          <w:numId w:val="15"/>
        </w:numPr>
        <w:spacing w:after="120"/>
        <w:ind w:leftChars="0" w:left="714" w:hanging="357"/>
        <w:rPr>
          <w:rFonts w:ascii="Times New Roman" w:hAnsi="Times New Roman"/>
          <w:b/>
          <w:sz w:val="20"/>
          <w:szCs w:val="21"/>
        </w:rPr>
      </w:pPr>
      <w:r w:rsidRPr="002A5A81">
        <w:rPr>
          <w:rFonts w:ascii="Times New Roman" w:hAnsi="Times New Roman"/>
          <w:b/>
          <w:sz w:val="20"/>
          <w:szCs w:val="21"/>
        </w:rPr>
        <w:t>Group path switch phase</w:t>
      </w:r>
    </w:p>
    <w:p w14:paraId="2331DB8C" w14:textId="77777777" w:rsidR="00E6028F" w:rsidRPr="00E6028F" w:rsidRDefault="00E6028F" w:rsidP="00E6028F">
      <w:pPr>
        <w:pStyle w:val="a9"/>
        <w:numPr>
          <w:ilvl w:val="0"/>
          <w:numId w:val="15"/>
        </w:numPr>
        <w:spacing w:after="120"/>
        <w:ind w:leftChars="0" w:left="714" w:hanging="357"/>
        <w:rPr>
          <w:rFonts w:ascii="Times New Roman" w:hAnsi="Times New Roman"/>
          <w:b/>
          <w:sz w:val="20"/>
          <w:szCs w:val="21"/>
        </w:rPr>
      </w:pPr>
      <w:r>
        <w:rPr>
          <w:rFonts w:ascii="Times New Roman" w:hAnsi="Times New Roman"/>
          <w:b/>
          <w:sz w:val="20"/>
          <w:szCs w:val="21"/>
        </w:rPr>
        <w:t>Group context release</w:t>
      </w:r>
    </w:p>
    <w:p w14:paraId="4AC04055" w14:textId="77777777" w:rsidR="00E6028F" w:rsidRDefault="00E6028F" w:rsidP="00E6028F">
      <w:pPr>
        <w:spacing w:after="120"/>
        <w:rPr>
          <w:b/>
          <w:szCs w:val="21"/>
          <w:lang w:val="en-US"/>
        </w:rPr>
      </w:pPr>
      <w:r w:rsidRPr="001D77D4">
        <w:rPr>
          <w:b/>
          <w:szCs w:val="21"/>
          <w:lang w:val="en-US"/>
        </w:rPr>
        <w:t>Proposal 2, RAN3 discuss group handover preparation phase</w:t>
      </w:r>
      <w:r>
        <w:rPr>
          <w:b/>
          <w:szCs w:val="21"/>
          <w:lang w:val="en-US"/>
        </w:rPr>
        <w:t>,</w:t>
      </w:r>
      <w:r w:rsidRPr="001D77D4">
        <w:rPr>
          <w:b/>
          <w:szCs w:val="21"/>
          <w:lang w:val="en-US"/>
        </w:rPr>
        <w:t xml:space="preserve"> group path switch phase </w:t>
      </w:r>
      <w:r>
        <w:rPr>
          <w:b/>
          <w:szCs w:val="21"/>
          <w:lang w:val="en-US"/>
        </w:rPr>
        <w:t xml:space="preserve">and group context release phase </w:t>
      </w:r>
      <w:r w:rsidRPr="001D77D4">
        <w:rPr>
          <w:b/>
          <w:szCs w:val="21"/>
          <w:lang w:val="en-US"/>
        </w:rPr>
        <w:t>first and then discuss group execution phase based on the outcome of RAN2.</w:t>
      </w:r>
    </w:p>
    <w:p w14:paraId="14CE59E2" w14:textId="77777777" w:rsidR="00E6028F" w:rsidRPr="008C2420" w:rsidRDefault="00E6028F" w:rsidP="00E6028F">
      <w:pPr>
        <w:rPr>
          <w:b/>
          <w:szCs w:val="21"/>
        </w:rPr>
      </w:pPr>
      <w:r w:rsidRPr="008C2420">
        <w:rPr>
          <w:b/>
          <w:szCs w:val="21"/>
        </w:rPr>
        <w:t>Proposal</w:t>
      </w:r>
      <w:r>
        <w:rPr>
          <w:b/>
          <w:szCs w:val="21"/>
        </w:rPr>
        <w:t xml:space="preserve"> 3</w:t>
      </w:r>
      <w:r w:rsidRPr="008C2420">
        <w:rPr>
          <w:b/>
          <w:szCs w:val="21"/>
        </w:rPr>
        <w:t xml:space="preserve">, RAN3 agree </w:t>
      </w:r>
      <w:r>
        <w:rPr>
          <w:b/>
          <w:szCs w:val="21"/>
        </w:rPr>
        <w:t>how to group UE and considering the following aspects.</w:t>
      </w:r>
    </w:p>
    <w:p w14:paraId="4B5AEBF9" w14:textId="77777777" w:rsidR="00E6028F" w:rsidRPr="002A5A81" w:rsidRDefault="00E6028F" w:rsidP="00E6028F">
      <w:pPr>
        <w:pStyle w:val="a9"/>
        <w:numPr>
          <w:ilvl w:val="0"/>
          <w:numId w:val="15"/>
        </w:numPr>
        <w:spacing w:after="120"/>
        <w:ind w:leftChars="0" w:left="714" w:hanging="357"/>
        <w:rPr>
          <w:rFonts w:ascii="Times New Roman" w:hAnsi="Times New Roman"/>
          <w:b/>
          <w:sz w:val="20"/>
          <w:szCs w:val="21"/>
        </w:rPr>
      </w:pPr>
      <w:r w:rsidRPr="008C2420">
        <w:rPr>
          <w:rFonts w:ascii="Times New Roman" w:hAnsi="Times New Roman"/>
          <w:b/>
          <w:sz w:val="20"/>
          <w:szCs w:val="21"/>
        </w:rPr>
        <w:t xml:space="preserve">UEs </w:t>
      </w:r>
      <w:r>
        <w:rPr>
          <w:rFonts w:ascii="Times New Roman" w:hAnsi="Times New Roman"/>
          <w:b/>
          <w:sz w:val="20"/>
          <w:szCs w:val="21"/>
        </w:rPr>
        <w:t>served by the same cell can be grouped in g</w:t>
      </w:r>
      <w:r w:rsidRPr="002A5A81">
        <w:rPr>
          <w:rFonts w:ascii="Times New Roman" w:hAnsi="Times New Roman"/>
          <w:b/>
          <w:sz w:val="20"/>
          <w:szCs w:val="21"/>
        </w:rPr>
        <w:t>roup handover preparation phase</w:t>
      </w:r>
    </w:p>
    <w:p w14:paraId="7A1B841F" w14:textId="77777777" w:rsidR="00E6028F" w:rsidRDefault="00E6028F" w:rsidP="00E6028F">
      <w:pPr>
        <w:pStyle w:val="a9"/>
        <w:numPr>
          <w:ilvl w:val="0"/>
          <w:numId w:val="15"/>
        </w:numPr>
        <w:spacing w:after="120"/>
        <w:ind w:leftChars="0" w:left="714" w:hanging="357"/>
        <w:rPr>
          <w:rFonts w:ascii="Times New Roman" w:hAnsi="Times New Roman"/>
          <w:b/>
          <w:sz w:val="20"/>
          <w:szCs w:val="21"/>
        </w:rPr>
      </w:pPr>
      <w:r>
        <w:rPr>
          <w:rFonts w:ascii="Times New Roman" w:hAnsi="Times New Roman"/>
          <w:b/>
          <w:sz w:val="20"/>
          <w:szCs w:val="21"/>
        </w:rPr>
        <w:t>UEs served by the same AMF can be grouped in g</w:t>
      </w:r>
      <w:r w:rsidRPr="002A5A81">
        <w:rPr>
          <w:rFonts w:ascii="Times New Roman" w:hAnsi="Times New Roman"/>
          <w:b/>
          <w:sz w:val="20"/>
          <w:szCs w:val="21"/>
        </w:rPr>
        <w:t>roup path switch phase</w:t>
      </w:r>
    </w:p>
    <w:p w14:paraId="0CA8A335" w14:textId="77777777" w:rsidR="00E6028F" w:rsidRPr="00F6620F" w:rsidRDefault="00E6028F" w:rsidP="00E6028F">
      <w:pPr>
        <w:pStyle w:val="a9"/>
        <w:numPr>
          <w:ilvl w:val="0"/>
          <w:numId w:val="15"/>
        </w:numPr>
        <w:spacing w:after="120"/>
        <w:ind w:leftChars="0" w:left="714" w:hanging="357"/>
        <w:rPr>
          <w:rFonts w:ascii="Times New Roman" w:hAnsi="Times New Roman"/>
          <w:b/>
          <w:sz w:val="20"/>
          <w:szCs w:val="21"/>
        </w:rPr>
      </w:pPr>
      <w:r>
        <w:rPr>
          <w:rFonts w:ascii="Times New Roman" w:hAnsi="Times New Roman"/>
          <w:b/>
          <w:sz w:val="20"/>
          <w:szCs w:val="21"/>
        </w:rPr>
        <w:t>UEs with similar pathloss can be grouped in g</w:t>
      </w:r>
      <w:r w:rsidRPr="002A5A81">
        <w:rPr>
          <w:rFonts w:ascii="Times New Roman" w:hAnsi="Times New Roman"/>
          <w:b/>
          <w:sz w:val="20"/>
          <w:szCs w:val="21"/>
        </w:rPr>
        <w:t>roup path switch phase</w:t>
      </w:r>
    </w:p>
    <w:p w14:paraId="107226C7" w14:textId="5344DB86" w:rsidR="00F61F76" w:rsidRPr="00F61F76" w:rsidRDefault="00F61F76" w:rsidP="00E6028F">
      <w:pPr>
        <w:rPr>
          <w:b/>
          <w:szCs w:val="21"/>
        </w:rPr>
      </w:pPr>
      <w:bookmarkStart w:id="4" w:name="_GoBack"/>
      <w:bookmarkEnd w:id="4"/>
      <w:r w:rsidRPr="00EB4857">
        <w:rPr>
          <w:b/>
          <w:szCs w:val="21"/>
        </w:rPr>
        <w:t xml:space="preserve">Observation 3, network should be aware of the on-board UEs so that network can take proper action for </w:t>
      </w:r>
      <w:r>
        <w:rPr>
          <w:b/>
          <w:szCs w:val="21"/>
        </w:rPr>
        <w:t xml:space="preserve">on-board </w:t>
      </w:r>
      <w:r w:rsidRPr="00EB4857">
        <w:rPr>
          <w:b/>
          <w:szCs w:val="21"/>
        </w:rPr>
        <w:t xml:space="preserve">UE mobility. </w:t>
      </w:r>
    </w:p>
    <w:p w14:paraId="5DF35491" w14:textId="77777777" w:rsidR="00E6028F" w:rsidRPr="00E6028F" w:rsidRDefault="00E6028F" w:rsidP="00E6028F">
      <w:pPr>
        <w:rPr>
          <w:b/>
          <w:szCs w:val="21"/>
          <w:lang w:val="en-US"/>
        </w:rPr>
      </w:pPr>
      <w:r w:rsidRPr="00E6028F">
        <w:rPr>
          <w:b/>
          <w:szCs w:val="21"/>
          <w:lang w:val="en-US"/>
        </w:rPr>
        <w:t>Proposal 4, RAN3 agree that at least IAB-donor should be aware of the on-board UE for RACH-less handover.</w:t>
      </w:r>
    </w:p>
    <w:p w14:paraId="21162178" w14:textId="507E79D4" w:rsidR="00E6028F" w:rsidRDefault="00E6028F" w:rsidP="00E6028F">
      <w:pPr>
        <w:rPr>
          <w:b/>
          <w:szCs w:val="21"/>
          <w:lang w:val="en-US"/>
        </w:rPr>
      </w:pPr>
      <w:r w:rsidRPr="00E6028F">
        <w:rPr>
          <w:b/>
          <w:szCs w:val="21"/>
          <w:lang w:val="en-US"/>
        </w:rPr>
        <w:lastRenderedPageBreak/>
        <w:t>Proposal 5, RAN3 to discuss RAN-based solution for identifying the on-board UEs and decide which entity is responsible for on-board UE evaluation</w:t>
      </w:r>
      <w:r>
        <w:rPr>
          <w:b/>
          <w:szCs w:val="21"/>
          <w:lang w:val="en-US"/>
        </w:rPr>
        <w:t>.</w:t>
      </w:r>
    </w:p>
    <w:p w14:paraId="73620B43" w14:textId="77777777" w:rsidR="00E6028F" w:rsidRDefault="00E6028F" w:rsidP="00E6028F">
      <w:pPr>
        <w:rPr>
          <w:b/>
          <w:szCs w:val="21"/>
        </w:rPr>
      </w:pPr>
      <w:r>
        <w:rPr>
          <w:b/>
          <w:szCs w:val="21"/>
        </w:rPr>
        <w:t xml:space="preserve">Proposal 6, RAN3 agree that IAB-donor can know whether the IAB-node is mobile by the location info of the IAB-MT. </w:t>
      </w:r>
    </w:p>
    <w:p w14:paraId="1F149342" w14:textId="037A466A" w:rsidR="00E6028F" w:rsidRPr="00E6028F" w:rsidRDefault="00E6028F" w:rsidP="00E6028F">
      <w:pPr>
        <w:rPr>
          <w:b/>
          <w:szCs w:val="21"/>
        </w:rPr>
      </w:pPr>
      <w:r>
        <w:rPr>
          <w:b/>
          <w:szCs w:val="21"/>
        </w:rPr>
        <w:t>Proposal 7, there is no need to transfer the mobile IAB-node indication from the source IAB-donor to the target IAB-donor.</w:t>
      </w:r>
    </w:p>
    <w:p w14:paraId="193FD945" w14:textId="41EEED5D" w:rsidR="00CD4C7B" w:rsidRPr="006E13D1" w:rsidRDefault="00342065" w:rsidP="00CD4C7B">
      <w:pPr>
        <w:pStyle w:val="1"/>
      </w:pPr>
      <w:r>
        <w:t>4</w:t>
      </w:r>
      <w:r>
        <w:tab/>
      </w:r>
      <w:r w:rsidR="00CD4C7B" w:rsidRPr="006E13D1">
        <w:t>References</w:t>
      </w:r>
    </w:p>
    <w:p w14:paraId="7B1F56F9" w14:textId="4E95D3BD" w:rsidR="001265F8" w:rsidRPr="006E13D1" w:rsidRDefault="001265F8" w:rsidP="001265F8">
      <w:pPr>
        <w:overflowPunct w:val="0"/>
        <w:autoSpaceDE w:val="0"/>
        <w:autoSpaceDN w:val="0"/>
        <w:adjustRightInd w:val="0"/>
        <w:ind w:left="567" w:hanging="567"/>
        <w:textAlignment w:val="baseline"/>
      </w:pPr>
      <w:bookmarkStart w:id="5" w:name="_Ref75086397"/>
    </w:p>
    <w:bookmarkEnd w:id="5"/>
    <w:p w14:paraId="079C0D43" w14:textId="18A70E52" w:rsidR="001D77D4" w:rsidRPr="00CD4C7B" w:rsidRDefault="001D77D4" w:rsidP="001D77D4">
      <w:pPr>
        <w:overflowPunct w:val="0"/>
        <w:autoSpaceDE w:val="0"/>
        <w:autoSpaceDN w:val="0"/>
        <w:adjustRightInd w:val="0"/>
        <w:textAlignment w:val="baseline"/>
      </w:pPr>
    </w:p>
    <w:p w14:paraId="0BA2BD6A" w14:textId="424517C4" w:rsidR="00080512" w:rsidRPr="00CD4C7B" w:rsidRDefault="00080512" w:rsidP="00587958">
      <w:pPr>
        <w:overflowPunct w:val="0"/>
        <w:autoSpaceDE w:val="0"/>
        <w:autoSpaceDN w:val="0"/>
        <w:adjustRightInd w:val="0"/>
        <w:ind w:left="567" w:hanging="567"/>
        <w:textAlignment w:val="baseline"/>
      </w:pP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D43483" w14:textId="77777777" w:rsidR="00C6148F" w:rsidRDefault="00C6148F">
      <w:r>
        <w:separator/>
      </w:r>
    </w:p>
  </w:endnote>
  <w:endnote w:type="continuationSeparator" w:id="0">
    <w:p w14:paraId="23F0F5E1" w14:textId="77777777" w:rsidR="00C6148F" w:rsidRDefault="00C61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DA1FA" w14:textId="77777777" w:rsidR="00C6148F" w:rsidRDefault="00C6148F">
      <w:r>
        <w:separator/>
      </w:r>
    </w:p>
  </w:footnote>
  <w:footnote w:type="continuationSeparator" w:id="0">
    <w:p w14:paraId="3336019E" w14:textId="77777777" w:rsidR="00C6148F" w:rsidRDefault="00C614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33312"/>
    <w:multiLevelType w:val="hybridMultilevel"/>
    <w:tmpl w:val="6E7CFEE6"/>
    <w:lvl w:ilvl="0" w:tplc="89424C46">
      <w:start w:val="2"/>
      <w:numFmt w:val="bullet"/>
      <w:lvlText w:val="-"/>
      <w:lvlJc w:val="left"/>
      <w:pPr>
        <w:ind w:left="720" w:hanging="360"/>
      </w:pPr>
      <w:rPr>
        <w:rFonts w:ascii="等线" w:eastAsia="等线" w:hAnsi="等线"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3124F4"/>
    <w:multiLevelType w:val="hybridMultilevel"/>
    <w:tmpl w:val="D86ADF86"/>
    <w:lvl w:ilvl="0" w:tplc="666A869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0E0A6D"/>
    <w:multiLevelType w:val="hybridMultilevel"/>
    <w:tmpl w:val="E378F186"/>
    <w:lvl w:ilvl="0" w:tplc="256618F6">
      <w:start w:val="2"/>
      <w:numFmt w:val="bullet"/>
      <w:lvlText w:val="-"/>
      <w:lvlJc w:val="left"/>
      <w:pPr>
        <w:ind w:left="720" w:hanging="360"/>
      </w:pPr>
      <w:rPr>
        <w:rFonts w:ascii="等线" w:eastAsia="等线" w:hAnsi="等线"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D283BA5"/>
    <w:multiLevelType w:val="hybridMultilevel"/>
    <w:tmpl w:val="D80247B2"/>
    <w:lvl w:ilvl="0" w:tplc="E5C0BA34">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26F422BE"/>
    <w:multiLevelType w:val="hybridMultilevel"/>
    <w:tmpl w:val="7C460C1E"/>
    <w:lvl w:ilvl="0" w:tplc="BFAEE64C">
      <w:numFmt w:val="bullet"/>
      <w:lvlText w:val="-"/>
      <w:lvlJc w:val="left"/>
      <w:pPr>
        <w:ind w:left="1080" w:hanging="360"/>
      </w:pPr>
      <w:rPr>
        <w:rFonts w:ascii="Calibri" w:eastAsia="宋体"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7F908CF"/>
    <w:multiLevelType w:val="hybridMultilevel"/>
    <w:tmpl w:val="317CCA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E101C3F"/>
    <w:multiLevelType w:val="hybridMultilevel"/>
    <w:tmpl w:val="5A480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2E7AD0"/>
    <w:multiLevelType w:val="hybridMultilevel"/>
    <w:tmpl w:val="A45265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25E245D"/>
    <w:multiLevelType w:val="hybridMultilevel"/>
    <w:tmpl w:val="074C55AA"/>
    <w:lvl w:ilvl="0" w:tplc="879618FE">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6930D1"/>
    <w:multiLevelType w:val="hybridMultilevel"/>
    <w:tmpl w:val="EB468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CA1AF3"/>
    <w:multiLevelType w:val="hybridMultilevel"/>
    <w:tmpl w:val="8A9AE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557D1F"/>
    <w:multiLevelType w:val="hybridMultilevel"/>
    <w:tmpl w:val="C206FA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086383C"/>
    <w:multiLevelType w:val="hybridMultilevel"/>
    <w:tmpl w:val="39E46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3461B04"/>
    <w:multiLevelType w:val="hybridMultilevel"/>
    <w:tmpl w:val="32682E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6196CE8"/>
    <w:multiLevelType w:val="hybridMultilevel"/>
    <w:tmpl w:val="456EF9EA"/>
    <w:lvl w:ilvl="0" w:tplc="E6A4DDF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6"/>
  </w:num>
  <w:num w:numId="6">
    <w:abstractNumId w:val="8"/>
  </w:num>
  <w:num w:numId="7">
    <w:abstractNumId w:val="14"/>
  </w:num>
  <w:num w:numId="8">
    <w:abstractNumId w:val="15"/>
  </w:num>
  <w:num w:numId="9">
    <w:abstractNumId w:val="10"/>
  </w:num>
  <w:num w:numId="10">
    <w:abstractNumId w:val="13"/>
  </w:num>
  <w:num w:numId="11">
    <w:abstractNumId w:val="5"/>
  </w:num>
  <w:num w:numId="12">
    <w:abstractNumId w:val="12"/>
  </w:num>
  <w:num w:numId="13">
    <w:abstractNumId w:val="11"/>
  </w:num>
  <w:num w:numId="14">
    <w:abstractNumId w:val="17"/>
  </w:num>
  <w:num w:numId="15">
    <w:abstractNumId w:val="3"/>
  </w:num>
  <w:num w:numId="16">
    <w:abstractNumId w:val="9"/>
  </w:num>
  <w:num w:numId="17">
    <w:abstractNumId w:val="6"/>
  </w:num>
  <w:num w:numId="18">
    <w:abstractNumId w:val="2"/>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120B7"/>
    <w:rsid w:val="00021025"/>
    <w:rsid w:val="00033397"/>
    <w:rsid w:val="000342C7"/>
    <w:rsid w:val="0003796B"/>
    <w:rsid w:val="00040095"/>
    <w:rsid w:val="0005563E"/>
    <w:rsid w:val="00080512"/>
    <w:rsid w:val="00083F0D"/>
    <w:rsid w:val="000904E9"/>
    <w:rsid w:val="000B7BCF"/>
    <w:rsid w:val="000C1506"/>
    <w:rsid w:val="000C556D"/>
    <w:rsid w:val="000D376D"/>
    <w:rsid w:val="000D58AB"/>
    <w:rsid w:val="000F1DB2"/>
    <w:rsid w:val="001075B7"/>
    <w:rsid w:val="001265F8"/>
    <w:rsid w:val="0013213A"/>
    <w:rsid w:val="0013262A"/>
    <w:rsid w:val="001370F2"/>
    <w:rsid w:val="001549DD"/>
    <w:rsid w:val="00155FF2"/>
    <w:rsid w:val="00171C2B"/>
    <w:rsid w:val="0017527C"/>
    <w:rsid w:val="00190CAC"/>
    <w:rsid w:val="00194CD0"/>
    <w:rsid w:val="001B08B3"/>
    <w:rsid w:val="001B7EB4"/>
    <w:rsid w:val="001C4281"/>
    <w:rsid w:val="001D0D3F"/>
    <w:rsid w:val="001D77D4"/>
    <w:rsid w:val="001E39D1"/>
    <w:rsid w:val="001E6294"/>
    <w:rsid w:val="001F168B"/>
    <w:rsid w:val="001F70B7"/>
    <w:rsid w:val="00225F6D"/>
    <w:rsid w:val="0022606D"/>
    <w:rsid w:val="002305DD"/>
    <w:rsid w:val="00243BC7"/>
    <w:rsid w:val="00244585"/>
    <w:rsid w:val="00250D89"/>
    <w:rsid w:val="002546FB"/>
    <w:rsid w:val="002623FC"/>
    <w:rsid w:val="00274277"/>
    <w:rsid w:val="002747EC"/>
    <w:rsid w:val="002855BF"/>
    <w:rsid w:val="002868BC"/>
    <w:rsid w:val="002953B2"/>
    <w:rsid w:val="002A5A81"/>
    <w:rsid w:val="002E1692"/>
    <w:rsid w:val="002F0D22"/>
    <w:rsid w:val="002F2CE8"/>
    <w:rsid w:val="002F5942"/>
    <w:rsid w:val="003172DC"/>
    <w:rsid w:val="003238E8"/>
    <w:rsid w:val="00326069"/>
    <w:rsid w:val="0032608A"/>
    <w:rsid w:val="00342065"/>
    <w:rsid w:val="003454FC"/>
    <w:rsid w:val="00353B12"/>
    <w:rsid w:val="0035462D"/>
    <w:rsid w:val="00363177"/>
    <w:rsid w:val="003702F7"/>
    <w:rsid w:val="00370F20"/>
    <w:rsid w:val="003717A7"/>
    <w:rsid w:val="00385F81"/>
    <w:rsid w:val="00391022"/>
    <w:rsid w:val="003B3FB3"/>
    <w:rsid w:val="003B5FD6"/>
    <w:rsid w:val="003C4E37"/>
    <w:rsid w:val="003E1194"/>
    <w:rsid w:val="003E16BE"/>
    <w:rsid w:val="003E7223"/>
    <w:rsid w:val="00401855"/>
    <w:rsid w:val="00401D6C"/>
    <w:rsid w:val="00406760"/>
    <w:rsid w:val="00455983"/>
    <w:rsid w:val="00464695"/>
    <w:rsid w:val="004C53DC"/>
    <w:rsid w:val="004C5539"/>
    <w:rsid w:val="004D3578"/>
    <w:rsid w:val="004D380D"/>
    <w:rsid w:val="004D3F58"/>
    <w:rsid w:val="004D5E47"/>
    <w:rsid w:val="004E0173"/>
    <w:rsid w:val="004E213A"/>
    <w:rsid w:val="004E21FC"/>
    <w:rsid w:val="004E6C01"/>
    <w:rsid w:val="00503171"/>
    <w:rsid w:val="005153FE"/>
    <w:rsid w:val="005240A4"/>
    <w:rsid w:val="00531C12"/>
    <w:rsid w:val="00534DA0"/>
    <w:rsid w:val="005361A0"/>
    <w:rsid w:val="00540B31"/>
    <w:rsid w:val="00543E6C"/>
    <w:rsid w:val="00544635"/>
    <w:rsid w:val="00557E1D"/>
    <w:rsid w:val="005626DD"/>
    <w:rsid w:val="00565087"/>
    <w:rsid w:val="0056573F"/>
    <w:rsid w:val="00565BE9"/>
    <w:rsid w:val="00571CE2"/>
    <w:rsid w:val="0057579F"/>
    <w:rsid w:val="00587958"/>
    <w:rsid w:val="00593EDF"/>
    <w:rsid w:val="005A4971"/>
    <w:rsid w:val="005B1232"/>
    <w:rsid w:val="005B2EEF"/>
    <w:rsid w:val="005D0F3B"/>
    <w:rsid w:val="005D4274"/>
    <w:rsid w:val="005E3C56"/>
    <w:rsid w:val="005F1BD4"/>
    <w:rsid w:val="00605E3E"/>
    <w:rsid w:val="00606DA9"/>
    <w:rsid w:val="00611566"/>
    <w:rsid w:val="00611D47"/>
    <w:rsid w:val="006327AD"/>
    <w:rsid w:val="0065074F"/>
    <w:rsid w:val="006538D4"/>
    <w:rsid w:val="00656E1E"/>
    <w:rsid w:val="006604E4"/>
    <w:rsid w:val="0067782C"/>
    <w:rsid w:val="00697E26"/>
    <w:rsid w:val="006B36A5"/>
    <w:rsid w:val="006B3E5D"/>
    <w:rsid w:val="006C54B5"/>
    <w:rsid w:val="006D1E24"/>
    <w:rsid w:val="00702BDF"/>
    <w:rsid w:val="00727EEA"/>
    <w:rsid w:val="007304F5"/>
    <w:rsid w:val="00734A5B"/>
    <w:rsid w:val="00741EC5"/>
    <w:rsid w:val="00743525"/>
    <w:rsid w:val="00744E76"/>
    <w:rsid w:val="007476DB"/>
    <w:rsid w:val="00756B13"/>
    <w:rsid w:val="00757D40"/>
    <w:rsid w:val="00763628"/>
    <w:rsid w:val="00767CDA"/>
    <w:rsid w:val="0077054F"/>
    <w:rsid w:val="00774846"/>
    <w:rsid w:val="00776271"/>
    <w:rsid w:val="00781F0F"/>
    <w:rsid w:val="0078727C"/>
    <w:rsid w:val="00797225"/>
    <w:rsid w:val="00797D4B"/>
    <w:rsid w:val="007C095F"/>
    <w:rsid w:val="007C36EF"/>
    <w:rsid w:val="007D5902"/>
    <w:rsid w:val="007E1F12"/>
    <w:rsid w:val="007E4746"/>
    <w:rsid w:val="007F2676"/>
    <w:rsid w:val="007F3F5F"/>
    <w:rsid w:val="00802106"/>
    <w:rsid w:val="008028A4"/>
    <w:rsid w:val="00806520"/>
    <w:rsid w:val="008223CA"/>
    <w:rsid w:val="00830106"/>
    <w:rsid w:val="00840916"/>
    <w:rsid w:val="008415DA"/>
    <w:rsid w:val="00853EDD"/>
    <w:rsid w:val="008604EE"/>
    <w:rsid w:val="00865B05"/>
    <w:rsid w:val="0087401D"/>
    <w:rsid w:val="008768CA"/>
    <w:rsid w:val="00880559"/>
    <w:rsid w:val="00886DF6"/>
    <w:rsid w:val="008975A9"/>
    <w:rsid w:val="008A79DE"/>
    <w:rsid w:val="008C2420"/>
    <w:rsid w:val="008C2835"/>
    <w:rsid w:val="008C490B"/>
    <w:rsid w:val="008D799A"/>
    <w:rsid w:val="0090271F"/>
    <w:rsid w:val="00903D8C"/>
    <w:rsid w:val="00904D26"/>
    <w:rsid w:val="00917051"/>
    <w:rsid w:val="009321BB"/>
    <w:rsid w:val="00942EC2"/>
    <w:rsid w:val="00943B23"/>
    <w:rsid w:val="00952D8F"/>
    <w:rsid w:val="00954BCB"/>
    <w:rsid w:val="00961B32"/>
    <w:rsid w:val="00971683"/>
    <w:rsid w:val="00971F47"/>
    <w:rsid w:val="00972FD7"/>
    <w:rsid w:val="00974BB0"/>
    <w:rsid w:val="009A6E4F"/>
    <w:rsid w:val="009B36EB"/>
    <w:rsid w:val="009B4F59"/>
    <w:rsid w:val="009C4046"/>
    <w:rsid w:val="009C4D5C"/>
    <w:rsid w:val="009D0A28"/>
    <w:rsid w:val="009F3B54"/>
    <w:rsid w:val="009F75AB"/>
    <w:rsid w:val="009F7E6E"/>
    <w:rsid w:val="00A10F02"/>
    <w:rsid w:val="00A2199E"/>
    <w:rsid w:val="00A3295B"/>
    <w:rsid w:val="00A4298B"/>
    <w:rsid w:val="00A53724"/>
    <w:rsid w:val="00A61FEF"/>
    <w:rsid w:val="00A64C87"/>
    <w:rsid w:val="00A80B02"/>
    <w:rsid w:val="00A82346"/>
    <w:rsid w:val="00A8361A"/>
    <w:rsid w:val="00A9671C"/>
    <w:rsid w:val="00AB6AAB"/>
    <w:rsid w:val="00AD4BCF"/>
    <w:rsid w:val="00AF4A8E"/>
    <w:rsid w:val="00AF78D5"/>
    <w:rsid w:val="00B03810"/>
    <w:rsid w:val="00B1063A"/>
    <w:rsid w:val="00B15449"/>
    <w:rsid w:val="00B41851"/>
    <w:rsid w:val="00B42422"/>
    <w:rsid w:val="00B503D9"/>
    <w:rsid w:val="00B6745D"/>
    <w:rsid w:val="00B9781E"/>
    <w:rsid w:val="00BA6755"/>
    <w:rsid w:val="00BB1499"/>
    <w:rsid w:val="00BC3B22"/>
    <w:rsid w:val="00BD5F05"/>
    <w:rsid w:val="00BF79F1"/>
    <w:rsid w:val="00C03035"/>
    <w:rsid w:val="00C275BC"/>
    <w:rsid w:val="00C33079"/>
    <w:rsid w:val="00C365F1"/>
    <w:rsid w:val="00C43B31"/>
    <w:rsid w:val="00C50536"/>
    <w:rsid w:val="00C55EB7"/>
    <w:rsid w:val="00C6148F"/>
    <w:rsid w:val="00C805B8"/>
    <w:rsid w:val="00C866E9"/>
    <w:rsid w:val="00C92571"/>
    <w:rsid w:val="00CA276C"/>
    <w:rsid w:val="00CA3D0C"/>
    <w:rsid w:val="00CB6651"/>
    <w:rsid w:val="00CB6887"/>
    <w:rsid w:val="00CC64B4"/>
    <w:rsid w:val="00CD41C2"/>
    <w:rsid w:val="00CD4C7B"/>
    <w:rsid w:val="00D22038"/>
    <w:rsid w:val="00D23014"/>
    <w:rsid w:val="00D45717"/>
    <w:rsid w:val="00D738D6"/>
    <w:rsid w:val="00D764AE"/>
    <w:rsid w:val="00D80795"/>
    <w:rsid w:val="00D80BE8"/>
    <w:rsid w:val="00D82770"/>
    <w:rsid w:val="00D87E00"/>
    <w:rsid w:val="00D908B4"/>
    <w:rsid w:val="00D90D48"/>
    <w:rsid w:val="00D9134D"/>
    <w:rsid w:val="00D97CD9"/>
    <w:rsid w:val="00DA1CA9"/>
    <w:rsid w:val="00DA5329"/>
    <w:rsid w:val="00DA7A03"/>
    <w:rsid w:val="00DB1818"/>
    <w:rsid w:val="00DC1445"/>
    <w:rsid w:val="00DC309B"/>
    <w:rsid w:val="00DC4DA2"/>
    <w:rsid w:val="00DE1406"/>
    <w:rsid w:val="00DE532C"/>
    <w:rsid w:val="00E0084C"/>
    <w:rsid w:val="00E07838"/>
    <w:rsid w:val="00E305A4"/>
    <w:rsid w:val="00E340BC"/>
    <w:rsid w:val="00E51135"/>
    <w:rsid w:val="00E51F8B"/>
    <w:rsid w:val="00E6028F"/>
    <w:rsid w:val="00E62835"/>
    <w:rsid w:val="00E77645"/>
    <w:rsid w:val="00E852FF"/>
    <w:rsid w:val="00E90ABE"/>
    <w:rsid w:val="00EA1D56"/>
    <w:rsid w:val="00EA22F8"/>
    <w:rsid w:val="00EB4857"/>
    <w:rsid w:val="00EC4A25"/>
    <w:rsid w:val="00ED0D91"/>
    <w:rsid w:val="00ED1751"/>
    <w:rsid w:val="00ED7F72"/>
    <w:rsid w:val="00EE022B"/>
    <w:rsid w:val="00EE0A1E"/>
    <w:rsid w:val="00EF2DFA"/>
    <w:rsid w:val="00F025A2"/>
    <w:rsid w:val="00F2026E"/>
    <w:rsid w:val="00F2210A"/>
    <w:rsid w:val="00F37743"/>
    <w:rsid w:val="00F54114"/>
    <w:rsid w:val="00F54A3D"/>
    <w:rsid w:val="00F61F76"/>
    <w:rsid w:val="00F653B8"/>
    <w:rsid w:val="00F6620F"/>
    <w:rsid w:val="00F76F8F"/>
    <w:rsid w:val="00FA1266"/>
    <w:rsid w:val="00FB2BEA"/>
    <w:rsid w:val="00FC1192"/>
    <w:rsid w:val="00FC53BF"/>
    <w:rsid w:val="00FC671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6">
    <w:name w:val="Hyperlink"/>
    <w:rsid w:val="0056573F"/>
    <w:rPr>
      <w:color w:val="0000FF"/>
      <w:u w:val="single"/>
    </w:rPr>
  </w:style>
  <w:style w:type="paragraph" w:styleId="a7">
    <w:name w:val="Document Map"/>
    <w:basedOn w:val="a"/>
    <w:link w:val="a8"/>
    <w:rsid w:val="007476DB"/>
    <w:rPr>
      <w:rFonts w:ascii="Tahoma" w:hAnsi="Tahoma" w:cs="Tahoma"/>
      <w:sz w:val="16"/>
      <w:szCs w:val="16"/>
    </w:rPr>
  </w:style>
  <w:style w:type="character" w:customStyle="1" w:styleId="a8">
    <w:name w:val="文档结构图 字符"/>
    <w:link w:val="a7"/>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9">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
    <w:basedOn w:val="a"/>
    <w:link w:val="aa"/>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a">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9"/>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ab">
    <w:name w:val="Normal (Web)"/>
    <w:basedOn w:val="a"/>
    <w:uiPriority w:val="99"/>
    <w:unhideWhenUsed/>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a"/>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26647">
      <w:bodyDiv w:val="1"/>
      <w:marLeft w:val="0"/>
      <w:marRight w:val="0"/>
      <w:marTop w:val="0"/>
      <w:marBottom w:val="0"/>
      <w:divBdr>
        <w:top w:val="none" w:sz="0" w:space="0" w:color="auto"/>
        <w:left w:val="none" w:sz="0" w:space="0" w:color="auto"/>
        <w:bottom w:val="none" w:sz="0" w:space="0" w:color="auto"/>
        <w:right w:val="none" w:sz="0" w:space="0" w:color="auto"/>
      </w:divBdr>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2018338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3C37E-7722-409A-8CC2-6A1F2A7FE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1312</Words>
  <Characters>7485</Characters>
  <Application>Microsoft Office Word</Application>
  <DocSecurity>0</DocSecurity>
  <Lines>62</Lines>
  <Paragraphs>17</Paragraphs>
  <ScaleCrop>false</ScaleCrop>
  <Company/>
  <LinksUpToDate>false</LinksUpToDate>
  <CharactersWithSpaces>8780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2022-09-28T04:16:00Z</dcterms:created>
  <dcterms:modified xsi:type="dcterms:W3CDTF">2022-09-28T07:39:00Z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